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B60" w:rsidRPr="006E51D2" w:rsidRDefault="00E33B60" w:rsidP="00E33B60">
      <w:pPr>
        <w:pStyle w:val="Heading1"/>
        <w:numPr>
          <w:ilvl w:val="0"/>
          <w:numId w:val="2"/>
        </w:numPr>
        <w:rPr>
          <w:noProof/>
        </w:rPr>
      </w:pPr>
      <w:r w:rsidRPr="006E51D2">
        <w:rPr>
          <w:noProof/>
        </w:rPr>
        <w:t>Specific Aims</w:t>
      </w:r>
    </w:p>
    <w:p w:rsidR="00E33B60" w:rsidRPr="006E51D2" w:rsidRDefault="00E33B60" w:rsidP="00E33B60">
      <w:pPr>
        <w:pStyle w:val="Heading2"/>
        <w:rPr>
          <w:noProof/>
        </w:rPr>
      </w:pPr>
      <w:r w:rsidRPr="006E51D2">
        <w:rPr>
          <w:noProof/>
        </w:rPr>
        <w:t>Aim 1</w:t>
      </w:r>
    </w:p>
    <w:p w:rsidR="008C31AC" w:rsidRDefault="00E33B60" w:rsidP="00E60B61">
      <w:pPr>
        <w:pStyle w:val="Heading3"/>
        <w:rPr>
          <w:noProof/>
        </w:rPr>
      </w:pPr>
      <w:r w:rsidRPr="006E51D2">
        <w:rPr>
          <w:noProof/>
        </w:rPr>
        <w:t>Significance</w:t>
      </w:r>
      <w:r w:rsidR="008C31AC">
        <w:rPr>
          <w:noProof/>
        </w:rPr>
        <w:t xml:space="preserve"> </w:t>
      </w:r>
    </w:p>
    <w:p w:rsidR="00E33B60" w:rsidRPr="006E51D2" w:rsidRDefault="00E33B60" w:rsidP="00F62230">
      <w:pPr>
        <w:pStyle w:val="body"/>
        <w:rPr>
          <w:noProof/>
        </w:rPr>
      </w:pPr>
      <w:r w:rsidRPr="006E51D2">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w:t>
      </w:r>
      <w:bookmarkStart w:id="0" w:name="_GoBack"/>
      <w:bookmarkEnd w:id="0"/>
      <w:r w:rsidR="002B2E7D">
        <w:rPr>
          <w:noProof/>
        </w:rPr>
        <w:fldChar w:fldCharType="begin" w:fldLock="1"/>
      </w:r>
      <w:r w:rsidR="002B2E7D">
        <w:rPr>
          <w:noProof/>
        </w:rPr>
        <w:instrText>ADDIN CSL_CITATION {"citationItems":[{"id":"ITEM-1","itemData":{"author":[{"dropping-particle":"","family":"pgRouting Contributors","given":"","non-dropping-particle":"","parse-names":false,"suffix":""}],"id":"ITEM-1","issued":{"date-parts":[["2013"]]},"page":"88","title":"pgRouting Manual","type":"article","volume":"Release 2."},"uris":["http://www.mendeley.com/documents/?uuid=7b696017-2fc9-4315-a207-49db7a0bfe32"]}],"mendeley":{"formattedCitation":"&lt;sup&gt;1&lt;/sup&gt;","plainTextFormattedCitation":"1","previouslyFormattedCitation":"(pgRouting Contributors 2013)"},"properties":{"noteIndex":0},"schema":"https://github.com/citation-style-language/schema/raw/master/csl-citation.json"}</w:instrText>
      </w:r>
      <w:r w:rsidR="002B2E7D">
        <w:rPr>
          <w:noProof/>
        </w:rPr>
        <w:fldChar w:fldCharType="separate"/>
      </w:r>
      <w:r w:rsidR="002B2E7D" w:rsidRPr="002B2E7D">
        <w:rPr>
          <w:noProof/>
          <w:vertAlign w:val="superscript"/>
        </w:rPr>
        <w:t>1</w:t>
      </w:r>
      <w:r w:rsidR="002B2E7D">
        <w:rPr>
          <w:noProof/>
        </w:rPr>
        <w:fldChar w:fldCharType="end"/>
      </w:r>
    </w:p>
    <w:p w:rsidR="008C31AC" w:rsidRPr="008C31AC" w:rsidRDefault="00E33B60" w:rsidP="00E33B60">
      <w:pPr>
        <w:pStyle w:val="Heading3"/>
        <w:rPr>
          <w:noProof/>
          <w:vanish/>
        </w:rPr>
      </w:pPr>
      <w:r w:rsidRPr="006E51D2">
        <w:rPr>
          <w:noProof/>
        </w:rPr>
        <w:t>Innovation</w:t>
      </w:r>
    </w:p>
    <w:p w:rsidR="00E33B60" w:rsidRPr="006E51D2" w:rsidRDefault="00E33B60" w:rsidP="00E33B60">
      <w:pPr>
        <w:pStyle w:val="body"/>
        <w:rPr>
          <w:noProof/>
        </w:rPr>
      </w:pPr>
      <w:r w:rsidRPr="006E51D2">
        <w:rPr>
          <w:noProof/>
        </w:rPr>
        <w:t>Aenean nec lorem. In porttitor. Donec laoreet nonummy augue. Suspendisse dui purus, scelerisque at, vulputate vitae, pretium mattis, nunc. Mauris eget neque at sem venenatis eleifend. Ut nonummy. Fusce aliquet pede non pede. Suspendisse dapibus lorem pellentesque magna. Integer nulla.</w:t>
      </w:r>
      <w:r w:rsidR="002B2E7D">
        <w:rPr>
          <w:noProof/>
        </w:rPr>
        <w:fldChar w:fldCharType="begin" w:fldLock="1"/>
      </w:r>
      <w:r w:rsidR="002B2E7D">
        <w:rPr>
          <w:noProof/>
        </w:rPr>
        <w:instrText>ADDIN CSL_CITATION {"citationItems":[{"id":"ITEM-1","itemData":{"DOI":"10.3389/fpubh.2014.00002","abstract":"Precise measurement of physical activity is important for health research, providing a better understanding of activity location, type, duration, and intensity. This article describes a novel suite of tools to measure and analyze physical activity behaviors in spatial epidemiology research. We use individual-level, high-resolution, objective data collected in a space-time framework to investigate built and social environment influences on activity. First, we collect data with accelerometers, global positioning system units, and smartphone-based digital travel and photo diaries to overcome many limitations inherent in self-reported data. Behaviors are measured continuously over the full spectrum of environmental exposures in daily life, instead of focusing exclusively on the home neighborhood. Second, data streams are integrated using common timestamps into a single data structure, the “LifeLog.” A graphic interface tool, “LifeLog View,” enables simultaneous visualization of all LifeLog data streams. Finally, we use geographic information system SmartMap rasters to measure spatially continuous environmental variables to capture exposures at the same spatial and temporal scale as in the LifeLog. These technologies enable precise measurement of behaviors in their spatial and temporal settings but also generate very large datasets; we discuss current limitations and promising methods for processing and analyzing such large datasets. Finally, we provide applications of these methods in spatially oriented research, including a natural experiment to evaluate the effects of new transportation infrastructure on activity levels, and a study of neighborhood environmental effects on activity using twins as quasi-causal controls to overcome self-selection and reverse causation problems. In summary, the integrative characteristics of large datasets contained in LifeLogs and SmartMaps hold great promise for advancing spatial epidemiologic research to promote healthy behaviors.","author":[{"dropping-particle":"","family":"Hurvitz","given":"Philip M.","non-dropping-particle":"","parse-names":false,"suffix":""},{"dropping-particle":"","family":"Moudon","given":"Anne Vernez","non-dropping-particle":"","parse-names":false,"suffix":""},{"dropping-particle":"","family":"Kang","given":"Bumjoon","non-dropping-particle":"","parse-names":false,"suffix":""},{"dropping-particle":"","family":"Saelens","given":"Brian E.","non-dropping-particle":"","parse-names":false,"suffix":""},{"dropping-particle":"","family":"Duncan","given":"Glen E.","non-dropping-particle":"","parse-names":false,"suffix":""}],"container-title":"Frontiers in Public Health","id":"ITEM-1","issued":{"date-parts":[["2014"]]},"note":"10.3389/fpubh.2014.00002","page":"15","title":"Emerging Technologies for Assessing Physical Activity Behaviors in Space and Time","type":"article-journal","volume":"2"},"uris":["http://www.mendeley.com/documents/?uuid=c16c8eaa-4cdd-4afa-bf4f-2c035f82009e"]}],"mendeley":{"formattedCitation":"&lt;sup&gt;2&lt;/sup&gt;","plainTextFormattedCitation":"2","previouslyFormattedCitation":"(Hurvitz et al. 2014)"},"properties":{"noteIndex":0},"schema":"https://github.com/citation-style-language/schema/raw/master/csl-citation.json"}</w:instrText>
      </w:r>
      <w:r w:rsidR="002B2E7D">
        <w:rPr>
          <w:noProof/>
        </w:rPr>
        <w:fldChar w:fldCharType="separate"/>
      </w:r>
      <w:r w:rsidR="002B2E7D" w:rsidRPr="002B2E7D">
        <w:rPr>
          <w:noProof/>
          <w:vertAlign w:val="superscript"/>
        </w:rPr>
        <w:t>2</w:t>
      </w:r>
      <w:r w:rsidR="002B2E7D">
        <w:rPr>
          <w:noProof/>
        </w:rPr>
        <w:fldChar w:fldCharType="end"/>
      </w:r>
    </w:p>
    <w:p w:rsidR="008C31AC" w:rsidRPr="008C31AC" w:rsidRDefault="00E33B60" w:rsidP="00F73967">
      <w:pPr>
        <w:pStyle w:val="Heading3"/>
        <w:rPr>
          <w:noProof/>
          <w:vanish/>
        </w:rPr>
      </w:pPr>
      <w:r w:rsidRPr="006E51D2">
        <w:rPr>
          <w:noProof/>
        </w:rPr>
        <w:t>Approach</w:t>
      </w:r>
    </w:p>
    <w:p w:rsidR="00C1047A" w:rsidRPr="00C1047A" w:rsidRDefault="00E33B60" w:rsidP="00F73967">
      <w:pPr>
        <w:pStyle w:val="body"/>
        <w:rPr>
          <w:noProof/>
        </w:rPr>
      </w:pPr>
      <w:r w:rsidRPr="00E33B60">
        <w:rPr>
          <w:noProof/>
        </w:rPr>
        <w:t>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w:t>
      </w:r>
    </w:p>
    <w:p w:rsidR="00E33B60" w:rsidRDefault="00E33B60" w:rsidP="00E33B60">
      <w:pPr>
        <w:pStyle w:val="Heading2"/>
        <w:rPr>
          <w:noProof/>
        </w:rPr>
      </w:pPr>
      <w:r>
        <w:rPr>
          <w:noProof/>
        </w:rPr>
        <w:t>Aim 2</w:t>
      </w:r>
    </w:p>
    <w:p w:rsidR="00E33B60" w:rsidRDefault="00E33B60" w:rsidP="00E33B60">
      <w:pPr>
        <w:pStyle w:val="body"/>
        <w:rPr>
          <w:noProof/>
        </w:rPr>
      </w:pPr>
      <w:r w:rsidRPr="00E33B60">
        <w:rPr>
          <w:rStyle w:val="bodyChar"/>
          <w:noProof/>
        </w:rPr>
        <w:t>Video provides a powerful way to help you prove your point. When you click Online Video, you can</w:t>
      </w:r>
      <w:r>
        <w:rPr>
          <w:noProof/>
        </w:rPr>
        <w:t xml:space="preserve"> paste in the embed code for the video you want to add. You can also type a keyword to search online for the video that best fits your document.</w:t>
      </w:r>
    </w:p>
    <w:p w:rsidR="00F73967" w:rsidRDefault="00F73967" w:rsidP="005B4B3D">
      <w:pPr>
        <w:pStyle w:val="Heading3"/>
        <w:rPr>
          <w:noProof/>
        </w:rPr>
      </w:pPr>
      <w:r>
        <w:rPr>
          <w:noProof/>
        </w:rPr>
        <w:t>Significance</w:t>
      </w:r>
    </w:p>
    <w:p w:rsidR="00E33B60" w:rsidRDefault="00E33B60" w:rsidP="00E33B60">
      <w:pPr>
        <w:pStyle w:val="body"/>
        <w:rPr>
          <w:noProof/>
        </w:rPr>
      </w:pPr>
      <w:r>
        <w:rPr>
          <w:noProof/>
        </w:rP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rsidR="00F73967" w:rsidRDefault="00E33B60" w:rsidP="00987AA6">
      <w:pPr>
        <w:pStyle w:val="Heading3"/>
        <w:rPr>
          <w:noProof/>
        </w:rPr>
      </w:pPr>
      <w:r w:rsidRPr="006E51D2">
        <w:rPr>
          <w:noProof/>
        </w:rPr>
        <w:t>Innovation</w:t>
      </w:r>
    </w:p>
    <w:p w:rsidR="00E33B60" w:rsidRDefault="00E33B60" w:rsidP="00E33B60">
      <w:pPr>
        <w:pStyle w:val="body"/>
        <w:rPr>
          <w:noProof/>
        </w:rPr>
      </w:pPr>
      <w:r>
        <w:rPr>
          <w:noProof/>
        </w:rPr>
        <w:t>Themes and styles also help keep your document coordinated. When you click Design and choose a new Theme, the pictures, charts, and SmartArt graphics change to match your new theme. When you apply styles, your headings change to match the new theme.</w:t>
      </w:r>
    </w:p>
    <w:p w:rsidR="00F73967" w:rsidRDefault="00E33B60" w:rsidP="001E737C">
      <w:pPr>
        <w:pStyle w:val="Heading3"/>
        <w:rPr>
          <w:noProof/>
        </w:rPr>
      </w:pPr>
      <w:r w:rsidRPr="006E51D2">
        <w:rPr>
          <w:noProof/>
        </w:rPr>
        <w:t xml:space="preserve">Approach </w:t>
      </w:r>
    </w:p>
    <w:p w:rsidR="0021587E" w:rsidRDefault="00E33B60" w:rsidP="00E33B60">
      <w:pPr>
        <w:pStyle w:val="body"/>
        <w:rPr>
          <w:noProof/>
        </w:rPr>
      </w:pPr>
      <w:r>
        <w:rPr>
          <w:noProof/>
        </w:rP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rsidR="002B2E7D" w:rsidRDefault="002B2E7D" w:rsidP="00E33B60">
      <w:pPr>
        <w:pStyle w:val="body"/>
        <w:rPr>
          <w:noProof/>
        </w:rPr>
      </w:pPr>
    </w:p>
    <w:p w:rsidR="002B2E7D" w:rsidRDefault="002B2E7D" w:rsidP="00E33B60">
      <w:pPr>
        <w:pStyle w:val="body"/>
        <w:rPr>
          <w:noProof/>
        </w:rPr>
      </w:pPr>
      <w:r>
        <w:rPr>
          <w:noProof/>
        </w:rPr>
        <w:t>References cited</w:t>
      </w:r>
    </w:p>
    <w:p w:rsidR="002B2E7D" w:rsidRPr="002B2E7D" w:rsidRDefault="002B2E7D" w:rsidP="002B2E7D">
      <w:pPr>
        <w:widowControl w:val="0"/>
        <w:autoSpaceDE w:val="0"/>
        <w:autoSpaceDN w:val="0"/>
        <w:adjustRightInd w:val="0"/>
        <w:spacing w:after="60" w:line="240" w:lineRule="auto"/>
        <w:ind w:left="640" w:hanging="640"/>
        <w:rPr>
          <w:rFonts w:ascii="Calibri" w:hAnsi="Calibri" w:cs="Calibri"/>
          <w:noProof/>
          <w:sz w:val="24"/>
          <w:szCs w:val="24"/>
        </w:rPr>
      </w:pPr>
      <w:r>
        <w:rPr>
          <w:rStyle w:val="courier10"/>
          <w:rFonts w:ascii="Calibri" w:hAnsi="Calibri"/>
          <w:b w:val="0"/>
          <w:i w:val="0"/>
          <w:noProof/>
        </w:rPr>
        <w:fldChar w:fldCharType="begin" w:fldLock="1"/>
      </w:r>
      <w:r>
        <w:rPr>
          <w:rStyle w:val="courier10"/>
          <w:rFonts w:ascii="Calibri" w:hAnsi="Calibri"/>
          <w:b w:val="0"/>
          <w:i w:val="0"/>
          <w:noProof/>
        </w:rPr>
        <w:instrText xml:space="preserve">ADDIN Mendeley Bibliography CSL_BIBLIOGRAPHY </w:instrText>
      </w:r>
      <w:r>
        <w:rPr>
          <w:rStyle w:val="courier10"/>
          <w:rFonts w:ascii="Calibri" w:hAnsi="Calibri"/>
          <w:b w:val="0"/>
          <w:i w:val="0"/>
          <w:noProof/>
        </w:rPr>
        <w:fldChar w:fldCharType="separate"/>
      </w:r>
      <w:r w:rsidRPr="002B2E7D">
        <w:rPr>
          <w:rFonts w:ascii="Calibri" w:hAnsi="Calibri" w:cs="Calibri"/>
          <w:noProof/>
          <w:sz w:val="24"/>
          <w:szCs w:val="24"/>
        </w:rPr>
        <w:t xml:space="preserve">1. </w:t>
      </w:r>
      <w:r w:rsidRPr="002B2E7D">
        <w:rPr>
          <w:rFonts w:ascii="Calibri" w:hAnsi="Calibri" w:cs="Calibri"/>
          <w:noProof/>
          <w:sz w:val="24"/>
          <w:szCs w:val="24"/>
        </w:rPr>
        <w:tab/>
        <w:t>pgRouting Contributors. pgRouting Manual. 2013;Release 2.:88.</w:t>
      </w:r>
    </w:p>
    <w:p w:rsidR="002B2E7D" w:rsidRPr="002B2E7D" w:rsidRDefault="002B2E7D" w:rsidP="002B2E7D">
      <w:pPr>
        <w:widowControl w:val="0"/>
        <w:autoSpaceDE w:val="0"/>
        <w:autoSpaceDN w:val="0"/>
        <w:adjustRightInd w:val="0"/>
        <w:spacing w:after="60" w:line="240" w:lineRule="auto"/>
        <w:ind w:left="640" w:hanging="640"/>
        <w:rPr>
          <w:rFonts w:ascii="Calibri" w:hAnsi="Calibri" w:cs="Calibri"/>
          <w:noProof/>
          <w:sz w:val="24"/>
        </w:rPr>
      </w:pPr>
      <w:r w:rsidRPr="002B2E7D">
        <w:rPr>
          <w:rFonts w:ascii="Calibri" w:hAnsi="Calibri" w:cs="Calibri"/>
          <w:noProof/>
          <w:sz w:val="24"/>
          <w:szCs w:val="24"/>
        </w:rPr>
        <w:t xml:space="preserve">2. </w:t>
      </w:r>
      <w:r w:rsidRPr="002B2E7D">
        <w:rPr>
          <w:rFonts w:ascii="Calibri" w:hAnsi="Calibri" w:cs="Calibri"/>
          <w:noProof/>
          <w:sz w:val="24"/>
          <w:szCs w:val="24"/>
        </w:rPr>
        <w:tab/>
        <w:t xml:space="preserve">Hurvitz PM, Moudon AV, Kang B, Saelens BE, Duncan GE. Emerging Technologies for Assessing Physical Activity Behaviors in Space and Time. </w:t>
      </w:r>
      <w:r w:rsidRPr="002B2E7D">
        <w:rPr>
          <w:rFonts w:ascii="Calibri" w:hAnsi="Calibri" w:cs="Calibri"/>
          <w:i/>
          <w:iCs/>
          <w:noProof/>
          <w:sz w:val="24"/>
          <w:szCs w:val="24"/>
        </w:rPr>
        <w:t>Front Public Heal</w:t>
      </w:r>
      <w:r w:rsidRPr="002B2E7D">
        <w:rPr>
          <w:rFonts w:ascii="Calibri" w:hAnsi="Calibri" w:cs="Calibri"/>
          <w:noProof/>
          <w:sz w:val="24"/>
          <w:szCs w:val="24"/>
        </w:rPr>
        <w:t>. 2014;2:15. doi:10.3389/fpubh.2014.00002</w:t>
      </w:r>
    </w:p>
    <w:p w:rsidR="002B2E7D" w:rsidRPr="00E33B60" w:rsidRDefault="002B2E7D" w:rsidP="00E33B60">
      <w:pPr>
        <w:pStyle w:val="body"/>
        <w:rPr>
          <w:rStyle w:val="courier10"/>
          <w:rFonts w:ascii="Calibri" w:hAnsi="Calibri"/>
          <w:b w:val="0"/>
          <w:i w:val="0"/>
          <w:noProof/>
        </w:rPr>
      </w:pPr>
      <w:r>
        <w:rPr>
          <w:rStyle w:val="courier10"/>
          <w:rFonts w:ascii="Calibri" w:hAnsi="Calibri"/>
          <w:b w:val="0"/>
          <w:i w:val="0"/>
          <w:noProof/>
        </w:rPr>
        <w:fldChar w:fldCharType="end"/>
      </w:r>
    </w:p>
    <w:sectPr w:rsidR="002B2E7D" w:rsidRPr="00E33B60" w:rsidSect="00E33B60">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11D5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77C76394"/>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71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3E2"/>
    <w:rsid w:val="00010812"/>
    <w:rsid w:val="00193B42"/>
    <w:rsid w:val="001F7299"/>
    <w:rsid w:val="0021587E"/>
    <w:rsid w:val="002A597C"/>
    <w:rsid w:val="002B2E7D"/>
    <w:rsid w:val="00425E6C"/>
    <w:rsid w:val="004A71BC"/>
    <w:rsid w:val="00547CD0"/>
    <w:rsid w:val="005C03F1"/>
    <w:rsid w:val="007218A3"/>
    <w:rsid w:val="00782850"/>
    <w:rsid w:val="0084326D"/>
    <w:rsid w:val="008B73E2"/>
    <w:rsid w:val="008C31AC"/>
    <w:rsid w:val="00BD447C"/>
    <w:rsid w:val="00C1047A"/>
    <w:rsid w:val="00C65F9B"/>
    <w:rsid w:val="00C73A2C"/>
    <w:rsid w:val="00CF0F7D"/>
    <w:rsid w:val="00D6180B"/>
    <w:rsid w:val="00E30BB7"/>
    <w:rsid w:val="00E33B60"/>
    <w:rsid w:val="00F10EE7"/>
    <w:rsid w:val="00F62230"/>
    <w:rsid w:val="00F73967"/>
    <w:rsid w:val="00FA1607"/>
    <w:rsid w:val="00FB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4666E"/>
  <w15:chartTrackingRefBased/>
  <w15:docId w15:val="{8DA76BBB-A73F-464A-999F-936601F1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3B60"/>
    <w:pPr>
      <w:keepNext/>
      <w:keepLines/>
      <w:numPr>
        <w:numId w:val="1"/>
      </w:numPr>
      <w:spacing w:before="240" w:after="0"/>
      <w:outlineLvl w:val="0"/>
    </w:pPr>
    <w:rPr>
      <w:rFonts w:ascii="Calibri" w:eastAsiaTheme="majorEastAsia" w:hAnsi="Calibri" w:cstheme="majorBidi"/>
      <w:b/>
      <w:color w:val="000000" w:themeColor="text1"/>
      <w:sz w:val="24"/>
      <w:szCs w:val="32"/>
    </w:rPr>
  </w:style>
  <w:style w:type="paragraph" w:styleId="Heading2">
    <w:name w:val="heading 2"/>
    <w:basedOn w:val="Normal"/>
    <w:next w:val="Normal"/>
    <w:link w:val="Heading2Char"/>
    <w:uiPriority w:val="9"/>
    <w:unhideWhenUsed/>
    <w:qFormat/>
    <w:rsid w:val="00E33B60"/>
    <w:pPr>
      <w:keepNext/>
      <w:keepLines/>
      <w:numPr>
        <w:ilvl w:val="1"/>
        <w:numId w:val="1"/>
      </w:numPr>
      <w:spacing w:before="40" w:after="0"/>
      <w:outlineLvl w:val="1"/>
    </w:pPr>
    <w:rPr>
      <w:rFonts w:ascii="Calibri" w:eastAsiaTheme="majorEastAsia" w:hAnsi="Calibri" w:cstheme="majorBidi"/>
      <w:b/>
      <w:sz w:val="24"/>
      <w:szCs w:val="26"/>
    </w:rPr>
  </w:style>
  <w:style w:type="paragraph" w:styleId="Heading3">
    <w:name w:val="heading 3"/>
    <w:basedOn w:val="Normal"/>
    <w:next w:val="Normal"/>
    <w:link w:val="Heading3Char"/>
    <w:uiPriority w:val="9"/>
    <w:unhideWhenUsed/>
    <w:qFormat/>
    <w:rsid w:val="00F73967"/>
    <w:pPr>
      <w:keepNext/>
      <w:keepLines/>
      <w:numPr>
        <w:ilvl w:val="2"/>
        <w:numId w:val="1"/>
      </w:numPr>
      <w:spacing w:before="40" w:after="0"/>
      <w:ind w:left="0" w:firstLine="0"/>
      <w:outlineLvl w:val="2"/>
    </w:pPr>
    <w:rPr>
      <w:rFonts w:ascii="Calibri" w:eastAsiaTheme="majorEastAsia" w:hAnsi="Calibri" w:cstheme="majorBidi"/>
      <w:color w:val="000000" w:themeColor="text1"/>
      <w:sz w:val="24"/>
      <w:szCs w:val="24"/>
      <w:u w:val="single"/>
    </w:rPr>
  </w:style>
  <w:style w:type="paragraph" w:styleId="Heading4">
    <w:name w:val="heading 4"/>
    <w:basedOn w:val="Normal"/>
    <w:next w:val="Normal"/>
    <w:link w:val="Heading4Char"/>
    <w:uiPriority w:val="9"/>
    <w:unhideWhenUsed/>
    <w:qFormat/>
    <w:rsid w:val="002A597C"/>
    <w:pPr>
      <w:keepNext/>
      <w:keepLines/>
      <w:numPr>
        <w:ilvl w:val="3"/>
        <w:numId w:val="1"/>
      </w:numPr>
      <w:spacing w:before="40" w:after="0"/>
      <w:outlineLvl w:val="3"/>
    </w:pPr>
    <w:rPr>
      <w:rFonts w:ascii="Calibri" w:eastAsiaTheme="majorEastAsia" w:hAnsi="Calibri" w:cstheme="majorBidi"/>
      <w:iCs/>
      <w:sz w:val="24"/>
    </w:rPr>
  </w:style>
  <w:style w:type="paragraph" w:styleId="Heading5">
    <w:name w:val="heading 5"/>
    <w:basedOn w:val="Normal"/>
    <w:next w:val="Normal"/>
    <w:link w:val="Heading5Char"/>
    <w:uiPriority w:val="9"/>
    <w:semiHidden/>
    <w:unhideWhenUsed/>
    <w:qFormat/>
    <w:rsid w:val="002A597C"/>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A597C"/>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A597C"/>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A597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A597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urier10">
    <w:name w:val="courier 10"/>
    <w:uiPriority w:val="1"/>
    <w:qFormat/>
    <w:rsid w:val="0021587E"/>
    <w:rPr>
      <w:rFonts w:ascii="Courier New" w:hAnsi="Courier New"/>
      <w:b/>
      <w:i/>
    </w:rPr>
  </w:style>
  <w:style w:type="paragraph" w:styleId="NoSpacing">
    <w:name w:val="No Spacing"/>
    <w:uiPriority w:val="1"/>
    <w:qFormat/>
    <w:rsid w:val="0021587E"/>
    <w:pPr>
      <w:spacing w:after="0" w:line="240" w:lineRule="auto"/>
    </w:pPr>
  </w:style>
  <w:style w:type="character" w:customStyle="1" w:styleId="Heading1Char">
    <w:name w:val="Heading 1 Char"/>
    <w:basedOn w:val="DefaultParagraphFont"/>
    <w:link w:val="Heading1"/>
    <w:uiPriority w:val="9"/>
    <w:rsid w:val="00E33B60"/>
    <w:rPr>
      <w:rFonts w:ascii="Calibri" w:eastAsiaTheme="majorEastAsia" w:hAnsi="Calibri" w:cstheme="majorBidi"/>
      <w:b/>
      <w:color w:val="000000" w:themeColor="text1"/>
      <w:sz w:val="24"/>
      <w:szCs w:val="32"/>
    </w:rPr>
  </w:style>
  <w:style w:type="character" w:customStyle="1" w:styleId="Heading2Char">
    <w:name w:val="Heading 2 Char"/>
    <w:basedOn w:val="DefaultParagraphFont"/>
    <w:link w:val="Heading2"/>
    <w:uiPriority w:val="9"/>
    <w:rsid w:val="00E33B60"/>
    <w:rPr>
      <w:rFonts w:ascii="Calibri" w:eastAsiaTheme="majorEastAsia" w:hAnsi="Calibri" w:cstheme="majorBidi"/>
      <w:b/>
      <w:sz w:val="24"/>
      <w:szCs w:val="26"/>
    </w:rPr>
  </w:style>
  <w:style w:type="character" w:customStyle="1" w:styleId="Heading3Char">
    <w:name w:val="Heading 3 Char"/>
    <w:basedOn w:val="DefaultParagraphFont"/>
    <w:link w:val="Heading3"/>
    <w:uiPriority w:val="9"/>
    <w:rsid w:val="00F73967"/>
    <w:rPr>
      <w:rFonts w:ascii="Calibri" w:eastAsiaTheme="majorEastAsia" w:hAnsi="Calibri" w:cstheme="majorBidi"/>
      <w:color w:val="000000" w:themeColor="text1"/>
      <w:sz w:val="24"/>
      <w:szCs w:val="24"/>
      <w:u w:val="single"/>
    </w:rPr>
  </w:style>
  <w:style w:type="character" w:customStyle="1" w:styleId="Heading4Char">
    <w:name w:val="Heading 4 Char"/>
    <w:basedOn w:val="DefaultParagraphFont"/>
    <w:link w:val="Heading4"/>
    <w:uiPriority w:val="9"/>
    <w:rsid w:val="002A597C"/>
    <w:rPr>
      <w:rFonts w:ascii="Calibri" w:eastAsiaTheme="majorEastAsia" w:hAnsi="Calibri" w:cstheme="majorBidi"/>
      <w:iCs/>
      <w:sz w:val="24"/>
    </w:rPr>
  </w:style>
  <w:style w:type="character" w:customStyle="1" w:styleId="Heading5Char">
    <w:name w:val="Heading 5 Char"/>
    <w:basedOn w:val="DefaultParagraphFont"/>
    <w:link w:val="Heading5"/>
    <w:uiPriority w:val="9"/>
    <w:semiHidden/>
    <w:rsid w:val="002A597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2A597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2A597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A59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A597C"/>
    <w:rPr>
      <w:rFonts w:asciiTheme="majorHAnsi" w:eastAsiaTheme="majorEastAsia" w:hAnsiTheme="majorHAnsi" w:cstheme="majorBidi"/>
      <w:i/>
      <w:iCs/>
      <w:color w:val="272727" w:themeColor="text1" w:themeTint="D8"/>
      <w:sz w:val="21"/>
      <w:szCs w:val="21"/>
    </w:rPr>
  </w:style>
  <w:style w:type="paragraph" w:customStyle="1" w:styleId="body">
    <w:name w:val="body"/>
    <w:link w:val="bodyChar"/>
    <w:qFormat/>
    <w:rsid w:val="00E33B60"/>
    <w:pPr>
      <w:spacing w:after="60"/>
    </w:pPr>
    <w:rPr>
      <w:rFonts w:ascii="Calibri" w:hAnsi="Calibri"/>
      <w:sz w:val="24"/>
    </w:rPr>
  </w:style>
  <w:style w:type="character" w:customStyle="1" w:styleId="bodyChar">
    <w:name w:val="body Char"/>
    <w:basedOn w:val="DefaultParagraphFont"/>
    <w:link w:val="body"/>
    <w:rsid w:val="00E33B60"/>
    <w:rPr>
      <w:rFonts w:ascii="Calibri" w:hAnsi="Calibri"/>
      <w:sz w:val="24"/>
    </w:rPr>
  </w:style>
  <w:style w:type="character" w:styleId="LineNumber">
    <w:name w:val="line number"/>
    <w:basedOn w:val="DefaultParagraphFont"/>
    <w:uiPriority w:val="99"/>
    <w:semiHidden/>
    <w:unhideWhenUsed/>
    <w:rsid w:val="00E33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E303B-B3C5-4C5B-86A5-79DE11857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M. Hurvitz</dc:creator>
  <cp:keywords/>
  <dc:description/>
  <cp:lastModifiedBy>Philip Hurvitz</cp:lastModifiedBy>
  <cp:revision>3</cp:revision>
  <dcterms:created xsi:type="dcterms:W3CDTF">2020-10-20T16:35:00Z</dcterms:created>
  <dcterms:modified xsi:type="dcterms:W3CDTF">2020-10-20T19:22:00Z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1f663bc9-8e0a-35ba-afa2-4778e2271741</vt:lpwstr>
  </property>
  <property fmtid="{D5CDD505-2E9C-101B-9397-08002B2CF9AE}" pid="24" name="Mendeley Citation Style_1">
    <vt:lpwstr>http://www.zotero.org/styles/american-medical-association</vt:lpwstr>
  </property>
</Properties>
</file>