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A0" w:rsidRPr="00794032" w:rsidRDefault="004B5A91" w:rsidP="00794032">
      <w:pPr>
        <w:ind w:firstLine="0"/>
        <w:rPr>
          <w:b/>
        </w:rPr>
      </w:pPr>
      <w:r w:rsidRPr="00794032">
        <w:rPr>
          <w:b/>
        </w:rPr>
        <w:t>Precipitative Softening Description + Example Analysis</w:t>
      </w:r>
    </w:p>
    <w:p w:rsidR="00BD4AEA" w:rsidRDefault="00BD4AEA" w:rsidP="00F270CB">
      <w:pPr>
        <w:keepNext/>
        <w:ind w:firstLine="0"/>
      </w:pPr>
      <w:r>
        <w:rPr>
          <w:i/>
        </w:rPr>
        <w:t xml:space="preserve">1. </w:t>
      </w:r>
      <w:r w:rsidRPr="00794032">
        <w:rPr>
          <w:i/>
        </w:rPr>
        <w:t>Characterizing Chemical Equilibrium</w:t>
      </w:r>
    </w:p>
    <w:p w:rsidR="00BD4AEA" w:rsidRDefault="00BD4AEA" w:rsidP="00BD4AEA">
      <w:pPr>
        <w:ind w:firstLine="0"/>
      </w:pPr>
      <w:r>
        <w:t>The numerical value of any equilibrium constant is the ratio of the concentrations of the products to the concentrations of the reactants. The equilibrium constant is a dimensionless number, but for it to be meaningful, conventions need to be established for the units to use for the concentrations of the different species. These conventions are as follows:</w:t>
      </w:r>
    </w:p>
    <w:p w:rsidR="00BD4AEA" w:rsidRDefault="00BD4AEA" w:rsidP="00BD4AEA">
      <w:pPr>
        <w:numPr>
          <w:ilvl w:val="0"/>
          <w:numId w:val="1"/>
        </w:numPr>
      </w:pPr>
      <w:r>
        <w:t>For species that are dissolved in a large amount of a bulk phase (</w:t>
      </w:r>
      <w:r>
        <w:rPr>
          <w:i/>
        </w:rPr>
        <w:t>e.g.</w:t>
      </w:r>
      <w:r>
        <w:t xml:space="preserve">, species of interest to us, which are dissolved in water), the concentrations </w:t>
      </w:r>
      <w:r w:rsidR="00DE0DB3">
        <w:t>are</w:t>
      </w:r>
      <w:r>
        <w:t xml:space="preserve"> expressed in mol/L</w:t>
      </w:r>
    </w:p>
    <w:p w:rsidR="00BD4AEA" w:rsidRDefault="00BD4AEA" w:rsidP="00BD4AEA">
      <w:pPr>
        <w:numPr>
          <w:ilvl w:val="0"/>
          <w:numId w:val="1"/>
        </w:numPr>
      </w:pPr>
      <w:r>
        <w:t xml:space="preserve">For constituents that make up the bulk of a </w:t>
      </w:r>
      <w:r w:rsidR="009812F3">
        <w:rPr>
          <w:i/>
        </w:rPr>
        <w:t>condensed</w:t>
      </w:r>
      <w:r w:rsidR="009812F3">
        <w:t xml:space="preserve"> </w:t>
      </w:r>
      <w:r>
        <w:t>phase (</w:t>
      </w:r>
      <w:r>
        <w:rPr>
          <w:i/>
        </w:rPr>
        <w:t>e.g.</w:t>
      </w:r>
      <w:r>
        <w:t xml:space="preserve">, bulk water, or a pure solid that has precipitated and just happens to be suspended in the water), the concentrations </w:t>
      </w:r>
      <w:r w:rsidR="00DE0DB3">
        <w:t>are</w:t>
      </w:r>
      <w:r>
        <w:t xml:space="preserve"> expressed in terms of the fraction of that phase that the species represents. In all cases of interest to us, this fraction will be so close to 1.0 that we can use the approximation that the concentration is exactly 1.0.</w:t>
      </w:r>
    </w:p>
    <w:p w:rsidR="00BD4AEA" w:rsidRDefault="00BD4AEA" w:rsidP="00BD4AEA">
      <w:pPr>
        <w:numPr>
          <w:ilvl w:val="0"/>
          <w:numId w:val="1"/>
        </w:numPr>
      </w:pPr>
      <w:r>
        <w:t>For gases, the concentration</w:t>
      </w:r>
      <w:r w:rsidR="00B23245">
        <w:t>s</w:t>
      </w:r>
      <w:r>
        <w:t xml:space="preserve"> </w:t>
      </w:r>
      <w:r w:rsidR="00DE0DB3">
        <w:t>are</w:t>
      </w:r>
      <w:r>
        <w:t xml:space="preserve"> expressed in terms of the pressure that the species exerts</w:t>
      </w:r>
      <w:r w:rsidR="00B23245">
        <w:t xml:space="preserve"> (i.e., its </w:t>
      </w:r>
      <w:r w:rsidR="00B23245">
        <w:rPr>
          <w:i/>
        </w:rPr>
        <w:t>partial pressure</w:t>
      </w:r>
      <w:r w:rsidR="00B23245">
        <w:t>)</w:t>
      </w:r>
      <w:r>
        <w:t>, in atmospheres.</w:t>
      </w:r>
    </w:p>
    <w:p w:rsidR="00BD4AEA" w:rsidRDefault="007E47FA" w:rsidP="00BD4AEA">
      <w:pPr>
        <w:ind w:firstLine="0"/>
      </w:pPr>
      <w:r>
        <w:t xml:space="preserve">Often, </w:t>
      </w:r>
      <w:r w:rsidR="00DB0915">
        <w:t xml:space="preserve">we are interested in equilibria that only involve species dissolved in water, and the water itself. </w:t>
      </w:r>
      <w:r w:rsidR="00B23245">
        <w:t>For example</w:t>
      </w:r>
      <w:r w:rsidR="00DB0915">
        <w:t>, the following equilibria are especially important:</w:t>
      </w:r>
    </w:p>
    <w:p w:rsidR="00DB0915" w:rsidRDefault="00DB0915" w:rsidP="00DB0915">
      <w:pPr>
        <w:ind w:left="720" w:firstLine="0"/>
      </w:pPr>
      <w:r w:rsidRPr="00794032">
        <w:rPr>
          <w:position w:val="-32"/>
        </w:rPr>
        <w:object w:dxaOrig="55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42pt" o:ole="">
            <v:imagedata r:id="rId7" o:title=""/>
          </v:shape>
          <o:OLEObject Type="Embed" ProgID="Equation.DSMT4" ShapeID="_x0000_i1025" DrawAspect="Content" ObjectID="_1295966874" r:id="rId8"/>
        </w:object>
      </w:r>
    </w:p>
    <w:p w:rsidR="00DB0915" w:rsidRDefault="00DB0915" w:rsidP="00DB0915">
      <w:pPr>
        <w:ind w:left="720" w:firstLine="0"/>
      </w:pPr>
      <w:r w:rsidRPr="00794032">
        <w:rPr>
          <w:position w:val="-32"/>
        </w:rPr>
        <w:object w:dxaOrig="2860" w:dyaOrig="840">
          <v:shape id="_x0000_i1026" type="#_x0000_t75" style="width:143.25pt;height:42pt" o:ole="">
            <v:imagedata r:id="rId9" o:title=""/>
          </v:shape>
          <o:OLEObject Type="Embed" ProgID="Equation.DSMT4" ShapeID="_x0000_i1026" DrawAspect="Content" ObjectID="_1295966875" r:id="rId10"/>
        </w:object>
      </w:r>
    </w:p>
    <w:p w:rsidR="00DB0915" w:rsidRPr="004B5A91" w:rsidRDefault="00CD546D" w:rsidP="00DB0915">
      <w:pPr>
        <w:ind w:left="720" w:firstLine="0"/>
      </w:pPr>
      <w:r w:rsidRPr="00DB0915">
        <w:rPr>
          <w:position w:val="-40"/>
        </w:rPr>
        <w:object w:dxaOrig="2880" w:dyaOrig="920">
          <v:shape id="_x0000_i1027" type="#_x0000_t75" style="width:2in;height:45.75pt" o:ole="">
            <v:imagedata r:id="rId11" o:title=""/>
          </v:shape>
          <o:OLEObject Type="Embed" ProgID="Equation.DSMT4" ShapeID="_x0000_i1027" DrawAspect="Content" ObjectID="_1295966876" r:id="rId12"/>
        </w:object>
      </w:r>
    </w:p>
    <w:p w:rsidR="00DB0915" w:rsidRPr="00BD4AEA" w:rsidRDefault="00DB0915" w:rsidP="00BD4AEA">
      <w:pPr>
        <w:ind w:firstLine="0"/>
      </w:pPr>
      <w:r>
        <w:t>where (</w:t>
      </w:r>
      <w:r w:rsidR="004E13B6">
        <w:rPr>
          <w:i/>
        </w:rPr>
        <w:t>i</w:t>
      </w:r>
      <w:r>
        <w:t>) refers to a dimensionless number that represents the concentration of a species</w:t>
      </w:r>
      <w:r w:rsidR="004E13B6">
        <w:t xml:space="preserve"> </w:t>
      </w:r>
      <w:r w:rsidR="004E13B6">
        <w:rPr>
          <w:i/>
        </w:rPr>
        <w:t>i</w:t>
      </w:r>
      <w:r>
        <w:t>, in units that are consistent with the conventions described above.</w:t>
      </w:r>
    </w:p>
    <w:p w:rsidR="000D0CC0" w:rsidRDefault="000D0CC0" w:rsidP="000D0CC0">
      <w:pPr>
        <w:ind w:firstLine="0"/>
      </w:pPr>
      <w:r>
        <w:t xml:space="preserve">The carbonate acid/base system is particularly important in environmental chemistry, including the chemistry of precipitation. The sum of the concentrations of the three carbonate species is sometimes represented as </w:t>
      </w:r>
      <w:r>
        <w:rPr>
          <w:i/>
        </w:rPr>
        <w:t>TOT</w:t>
      </w:r>
      <w:r>
        <w:t>CO</w:t>
      </w:r>
      <w:r>
        <w:rPr>
          <w:vertAlign w:val="subscript"/>
        </w:rPr>
        <w:t>3</w:t>
      </w:r>
      <w:r>
        <w:t>:</w:t>
      </w:r>
    </w:p>
    <w:p w:rsidR="000D0CC0" w:rsidRDefault="000D0CC0" w:rsidP="000D0CC0">
      <w:pPr>
        <w:ind w:firstLine="720"/>
      </w:pPr>
      <w:r w:rsidRPr="00544551">
        <w:rPr>
          <w:position w:val="-16"/>
        </w:rPr>
        <w:object w:dxaOrig="4120" w:dyaOrig="440">
          <v:shape id="_x0000_i1028" type="#_x0000_t75" style="width:206.25pt;height:21.75pt" o:ole="">
            <v:imagedata r:id="rId13" o:title=""/>
          </v:shape>
          <o:OLEObject Type="Embed" ProgID="Equation.DSMT4" ShapeID="_x0000_i1028" DrawAspect="Content" ObjectID="_1295966877" r:id="rId14"/>
        </w:object>
      </w:r>
    </w:p>
    <w:p w:rsidR="000D0CC0" w:rsidRDefault="000D0CC0" w:rsidP="000D0CC0">
      <w:pPr>
        <w:ind w:firstLine="0"/>
      </w:pPr>
      <w:r>
        <w:t xml:space="preserve">By manipulating the equilibrium constants </w:t>
      </w:r>
      <w:r>
        <w:rPr>
          <w:i/>
        </w:rPr>
        <w:t>K</w:t>
      </w:r>
      <w:r>
        <w:rPr>
          <w:i/>
          <w:vertAlign w:val="subscript"/>
        </w:rPr>
        <w:t>a</w:t>
      </w:r>
      <w:r>
        <w:rPr>
          <w:vertAlign w:val="subscript"/>
        </w:rPr>
        <w:t>1</w:t>
      </w:r>
      <w:r>
        <w:t xml:space="preserve"> and </w:t>
      </w:r>
      <w:r>
        <w:rPr>
          <w:i/>
        </w:rPr>
        <w:t>K</w:t>
      </w:r>
      <w:r>
        <w:rPr>
          <w:i/>
          <w:vertAlign w:val="subscript"/>
        </w:rPr>
        <w:t>a</w:t>
      </w:r>
      <w:r>
        <w:rPr>
          <w:vertAlign w:val="subscript"/>
        </w:rPr>
        <w:t>2</w:t>
      </w:r>
      <w:r>
        <w:t xml:space="preserve">, it can be shown that the relative concentrations of the various carbonate species depend on solution pH but not on </w:t>
      </w:r>
      <w:r>
        <w:rPr>
          <w:i/>
        </w:rPr>
        <w:t>TOT</w:t>
      </w:r>
      <w:r>
        <w:t>CO</w:t>
      </w:r>
      <w:r>
        <w:rPr>
          <w:vertAlign w:val="subscript"/>
        </w:rPr>
        <w:t>3</w:t>
      </w:r>
      <w:r>
        <w:t xml:space="preserve">. This </w:t>
      </w:r>
      <w:r>
        <w:lastRenderedPageBreak/>
        <w:t xml:space="preserve">dependence is often shown as in the following graph, where each species is represented as a percentage of </w:t>
      </w:r>
      <w:r>
        <w:rPr>
          <w:i/>
        </w:rPr>
        <w:t>TOT</w:t>
      </w:r>
      <w:r>
        <w:t>CO</w:t>
      </w:r>
      <w:r>
        <w:rPr>
          <w:vertAlign w:val="subscript"/>
        </w:rPr>
        <w:t>3</w:t>
      </w:r>
      <w:r>
        <w:t>.</w:t>
      </w:r>
    </w:p>
    <w:p w:rsidR="000D0CC0" w:rsidRDefault="0012126F" w:rsidP="000D0CC0">
      <w:pPr>
        <w:ind w:firstLine="0"/>
      </w:pPr>
      <w:r>
        <w:rPr>
          <w:noProof/>
        </w:rPr>
        <w:drawing>
          <wp:inline distT="0" distB="0" distL="0" distR="0">
            <wp:extent cx="5467350" cy="3648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467350" cy="3648075"/>
                    </a:xfrm>
                    <a:prstGeom prst="rect">
                      <a:avLst/>
                    </a:prstGeom>
                    <a:noFill/>
                    <a:ln w="9525">
                      <a:noFill/>
                      <a:miter lim="800000"/>
                      <a:headEnd/>
                      <a:tailEnd/>
                    </a:ln>
                  </pic:spPr>
                </pic:pic>
              </a:graphicData>
            </a:graphic>
          </wp:inline>
        </w:drawing>
      </w:r>
    </w:p>
    <w:p w:rsidR="000D0CC0" w:rsidRPr="001F273C" w:rsidRDefault="000D0CC0" w:rsidP="000D0CC0">
      <w:pPr>
        <w:ind w:firstLine="0"/>
      </w:pPr>
    </w:p>
    <w:p w:rsidR="0079084D" w:rsidRPr="00794032" w:rsidRDefault="00EF7C9F" w:rsidP="00F270CB">
      <w:pPr>
        <w:keepNext/>
        <w:ind w:firstLine="0"/>
        <w:rPr>
          <w:i/>
        </w:rPr>
      </w:pPr>
      <w:r>
        <w:rPr>
          <w:i/>
        </w:rPr>
        <w:t>2</w:t>
      </w:r>
      <w:r w:rsidR="0079084D" w:rsidRPr="00794032">
        <w:rPr>
          <w:i/>
        </w:rPr>
        <w:t xml:space="preserve">. </w:t>
      </w:r>
      <w:r w:rsidR="0079084D">
        <w:rPr>
          <w:i/>
        </w:rPr>
        <w:t>Other Equations that Cha</w:t>
      </w:r>
      <w:r w:rsidR="0079084D" w:rsidRPr="00794032">
        <w:rPr>
          <w:i/>
        </w:rPr>
        <w:t>racter</w:t>
      </w:r>
      <w:r w:rsidR="0079084D">
        <w:rPr>
          <w:i/>
        </w:rPr>
        <w:t xml:space="preserve">ize </w:t>
      </w:r>
      <w:r w:rsidR="0079084D" w:rsidRPr="00794032">
        <w:rPr>
          <w:i/>
        </w:rPr>
        <w:t>S</w:t>
      </w:r>
      <w:r w:rsidR="0079084D">
        <w:rPr>
          <w:i/>
        </w:rPr>
        <w:t>ystems of Interest</w:t>
      </w:r>
    </w:p>
    <w:p w:rsidR="00B2022B" w:rsidRDefault="0079084D" w:rsidP="0079084D">
      <w:r>
        <w:t>In addition to equilibrium constants, mass balance equations can be used to describe the status of systems of interest. These mass balance equations often focus exclusively on the dissolved phase. Two mass balance equations of particular interest are the following:</w:t>
      </w:r>
    </w:p>
    <w:p w:rsidR="0079084D" w:rsidRDefault="0079084D" w:rsidP="0079084D">
      <w:r w:rsidRPr="0079084D">
        <w:rPr>
          <w:position w:val="-18"/>
        </w:rPr>
        <w:object w:dxaOrig="4200" w:dyaOrig="480">
          <v:shape id="_x0000_i1029" type="#_x0000_t75" style="width:210pt;height:24pt" o:ole="">
            <v:imagedata r:id="rId16" o:title=""/>
          </v:shape>
          <o:OLEObject Type="Embed" ProgID="Equation.DSMT4" ShapeID="_x0000_i1029" DrawAspect="Content" ObjectID="_1295966878" r:id="rId17"/>
        </w:object>
      </w:r>
    </w:p>
    <w:p w:rsidR="0079084D" w:rsidRDefault="0079084D" w:rsidP="0079084D">
      <w:r w:rsidRPr="0079084D">
        <w:rPr>
          <w:position w:val="-18"/>
        </w:rPr>
        <w:object w:dxaOrig="4420" w:dyaOrig="480">
          <v:shape id="_x0000_i1030" type="#_x0000_t75" style="width:221.25pt;height:24pt" o:ole="">
            <v:imagedata r:id="rId18" o:title=""/>
          </v:shape>
          <o:OLEObject Type="Embed" ProgID="Equation.DSMT4" ShapeID="_x0000_i1030" DrawAspect="Content" ObjectID="_1295966879" r:id="rId19"/>
        </w:object>
      </w:r>
    </w:p>
    <w:p w:rsidR="0079084D" w:rsidRDefault="0079084D" w:rsidP="0079084D">
      <w:r>
        <w:rPr>
          <w:i/>
        </w:rPr>
        <w:t>TOT</w:t>
      </w:r>
      <w:r>
        <w:t>CO</w:t>
      </w:r>
      <w:r>
        <w:rPr>
          <w:vertAlign w:val="subscript"/>
        </w:rPr>
        <w:t>3</w:t>
      </w:r>
      <w:r>
        <w:t xml:space="preserve"> is important because it characterizes the total amount of dissolved carbonate species in the solution. These species are easily interconverted, so </w:t>
      </w:r>
      <w:r>
        <w:rPr>
          <w:i/>
        </w:rPr>
        <w:t>TOT</w:t>
      </w:r>
      <w:r>
        <w:t>CO</w:t>
      </w:r>
      <w:r>
        <w:rPr>
          <w:vertAlign w:val="subscript"/>
        </w:rPr>
        <w:t>3</w:t>
      </w:r>
      <w:r>
        <w:t xml:space="preserve"> represents a limiting value for the maximum concentration of any one of the species. The relative amounts of the different species depend only on pH, with the speciation shifting from H</w:t>
      </w:r>
      <w:r>
        <w:rPr>
          <w:vertAlign w:val="subscript"/>
        </w:rPr>
        <w:t>2</w:t>
      </w:r>
      <w:r>
        <w:t>CO</w:t>
      </w:r>
      <w:r>
        <w:rPr>
          <w:vertAlign w:val="subscript"/>
        </w:rPr>
        <w:t>3</w:t>
      </w:r>
      <w:r>
        <w:t xml:space="preserve"> to HCO</w:t>
      </w:r>
      <w:r>
        <w:rPr>
          <w:vertAlign w:val="subscript"/>
        </w:rPr>
        <w:t>3</w:t>
      </w:r>
      <w:r>
        <w:rPr>
          <w:rFonts w:ascii="Symbol" w:hAnsi="Symbol"/>
          <w:vertAlign w:val="superscript"/>
        </w:rPr>
        <w:t></w:t>
      </w:r>
      <w:r>
        <w:t xml:space="preserve"> to CO</w:t>
      </w:r>
      <w:r>
        <w:rPr>
          <w:vertAlign w:val="subscript"/>
        </w:rPr>
        <w:t>3</w:t>
      </w:r>
      <w:r>
        <w:rPr>
          <w:vertAlign w:val="superscript"/>
        </w:rPr>
        <w:t>2</w:t>
      </w:r>
      <w:r>
        <w:rPr>
          <w:rFonts w:ascii="Symbol" w:hAnsi="Symbol"/>
          <w:vertAlign w:val="superscript"/>
        </w:rPr>
        <w:t></w:t>
      </w:r>
      <w:r>
        <w:t xml:space="preserve"> as pH increases</w:t>
      </w:r>
      <w:r w:rsidR="00A307D1">
        <w:t>, as shown in the preceding diagram</w:t>
      </w:r>
      <w:r>
        <w:t>.</w:t>
      </w:r>
    </w:p>
    <w:p w:rsidR="0079084D" w:rsidRDefault="0079084D" w:rsidP="0079084D">
      <w:r>
        <w:rPr>
          <w:i/>
        </w:rPr>
        <w:t>ALK</w:t>
      </w:r>
      <w:r>
        <w:t xml:space="preserve"> is important as a measure of </w:t>
      </w:r>
      <w:r w:rsidR="00C355C9">
        <w:t xml:space="preserve">the </w:t>
      </w:r>
      <w:r>
        <w:t xml:space="preserve">capacity </w:t>
      </w:r>
      <w:r w:rsidR="00C355C9">
        <w:t xml:space="preserve">of </w:t>
      </w:r>
      <w:r>
        <w:t xml:space="preserve">the solution to acquire </w:t>
      </w:r>
      <w:r w:rsidR="00B23245">
        <w:t xml:space="preserve">and neutralize </w:t>
      </w:r>
      <w:r>
        <w:t xml:space="preserve">acid </w:t>
      </w:r>
      <w:r w:rsidR="00B23245">
        <w:t xml:space="preserve">without </w:t>
      </w:r>
      <w:r>
        <w:t>rather severe ecological consequences occur</w:t>
      </w:r>
      <w:r w:rsidR="00B23245">
        <w:t>ring</w:t>
      </w:r>
      <w:r>
        <w:t>.</w:t>
      </w:r>
      <w:r w:rsidR="00DC2A9A">
        <w:t xml:space="preserve"> The value of </w:t>
      </w:r>
      <w:r w:rsidR="00DC2A9A">
        <w:rPr>
          <w:i/>
        </w:rPr>
        <w:t>ALK</w:t>
      </w:r>
      <w:r w:rsidR="00DC2A9A">
        <w:t xml:space="preserve"> can be determined experimentally by titrating a sample to pH 4.5. The amount of acid (mol/L, often expressed as </w:t>
      </w:r>
      <w:r w:rsidR="00DC2A9A">
        <w:lastRenderedPageBreak/>
        <w:t>equiv/L) needed to carry out this titration is the alkalinity of the original water (not the water that has been titrated).</w:t>
      </w:r>
    </w:p>
    <w:p w:rsidR="00AC1E5F" w:rsidRPr="00AC1E5F" w:rsidRDefault="00AC1E5F" w:rsidP="00AC1E5F">
      <w:pPr>
        <w:rPr>
          <w:rFonts w:cs="Arial"/>
          <w:szCs w:val="24"/>
        </w:rPr>
      </w:pPr>
      <w:r w:rsidRPr="00AC1E5F">
        <w:rPr>
          <w:rFonts w:cs="Arial"/>
          <w:szCs w:val="24"/>
        </w:rPr>
        <w:t>Alkalinity is expressed in a variety of units, not all of which are intuitive. The need for these units arises from the fact that the alkalinity includes contributions from several different compounds. One equivalent (equiv) of alkalinity refers to one mole of "H</w:t>
      </w:r>
      <w:r w:rsidRPr="00AC1E5F">
        <w:rPr>
          <w:rFonts w:cs="Arial"/>
          <w:szCs w:val="24"/>
          <w:vertAlign w:val="superscript"/>
        </w:rPr>
        <w:t>+</w:t>
      </w:r>
      <w:r w:rsidRPr="00AC1E5F">
        <w:rPr>
          <w:rFonts w:cs="Arial"/>
          <w:szCs w:val="24"/>
        </w:rPr>
        <w:t xml:space="preserve"> binding capacity." Thus, one mole of HCO</w:t>
      </w:r>
      <w:r w:rsidRPr="00AC1E5F">
        <w:rPr>
          <w:rFonts w:cs="Arial"/>
          <w:szCs w:val="24"/>
          <w:vertAlign w:val="subscript"/>
        </w:rPr>
        <w:t>3</w:t>
      </w:r>
      <w:r w:rsidRPr="00AC1E5F">
        <w:rPr>
          <w:rFonts w:ascii="Symbol" w:hAnsi="Symbol" w:cs="Arial"/>
          <w:szCs w:val="24"/>
          <w:vertAlign w:val="superscript"/>
        </w:rPr>
        <w:t></w:t>
      </w:r>
      <w:r w:rsidRPr="00AC1E5F">
        <w:rPr>
          <w:rFonts w:cs="Arial"/>
          <w:szCs w:val="24"/>
        </w:rPr>
        <w:t xml:space="preserve"> has the capacity to combine with one mole of H</w:t>
      </w:r>
      <w:r w:rsidRPr="00AC1E5F">
        <w:rPr>
          <w:rFonts w:cs="Arial"/>
          <w:szCs w:val="24"/>
          <w:vertAlign w:val="superscript"/>
        </w:rPr>
        <w:t>+</w:t>
      </w:r>
      <w:r w:rsidRPr="00AC1E5F">
        <w:rPr>
          <w:rFonts w:cs="Arial"/>
          <w:szCs w:val="24"/>
        </w:rPr>
        <w:t>, so one mole of HCO</w:t>
      </w:r>
      <w:r w:rsidRPr="00AC1E5F">
        <w:rPr>
          <w:rFonts w:cs="Arial"/>
          <w:szCs w:val="24"/>
          <w:vertAlign w:val="subscript"/>
        </w:rPr>
        <w:t>3</w:t>
      </w:r>
      <w:r w:rsidRPr="00AC1E5F">
        <w:rPr>
          <w:rFonts w:ascii="Symbol" w:hAnsi="Symbol" w:cs="Arial"/>
          <w:szCs w:val="24"/>
          <w:vertAlign w:val="superscript"/>
        </w:rPr>
        <w:t></w:t>
      </w:r>
      <w:r w:rsidRPr="00AC1E5F">
        <w:rPr>
          <w:rFonts w:cs="Arial"/>
          <w:szCs w:val="24"/>
        </w:rPr>
        <w:t xml:space="preserve"> is one equivalent of alkalinity. On the other hand, one mole of CO</w:t>
      </w:r>
      <w:r w:rsidRPr="00AC1E5F">
        <w:rPr>
          <w:rFonts w:cs="Arial"/>
          <w:szCs w:val="24"/>
          <w:vertAlign w:val="subscript"/>
        </w:rPr>
        <w:t>3</w:t>
      </w:r>
      <w:r w:rsidRPr="00AC1E5F">
        <w:rPr>
          <w:rFonts w:cs="Arial"/>
          <w:szCs w:val="24"/>
          <w:vertAlign w:val="superscript"/>
        </w:rPr>
        <w:t>2</w:t>
      </w:r>
      <w:r w:rsidRPr="00AC1E5F">
        <w:rPr>
          <w:rFonts w:ascii="Symbol" w:hAnsi="Symbol" w:cs="Arial"/>
          <w:szCs w:val="24"/>
          <w:vertAlign w:val="superscript"/>
        </w:rPr>
        <w:t></w:t>
      </w:r>
      <w:r w:rsidRPr="00AC1E5F">
        <w:rPr>
          <w:rFonts w:cs="Arial"/>
          <w:szCs w:val="24"/>
        </w:rPr>
        <w:t xml:space="preserve"> has the capacity to combine with two moles of H</w:t>
      </w:r>
      <w:r w:rsidRPr="00AC1E5F">
        <w:rPr>
          <w:rFonts w:cs="Arial"/>
          <w:szCs w:val="24"/>
          <w:vertAlign w:val="superscript"/>
        </w:rPr>
        <w:t>+</w:t>
      </w:r>
      <w:r w:rsidRPr="00AC1E5F">
        <w:rPr>
          <w:rFonts w:cs="Arial"/>
          <w:szCs w:val="24"/>
        </w:rPr>
        <w:t>, so one mole of CO</w:t>
      </w:r>
      <w:r w:rsidRPr="00AC1E5F">
        <w:rPr>
          <w:rFonts w:cs="Arial"/>
          <w:szCs w:val="24"/>
          <w:vertAlign w:val="subscript"/>
        </w:rPr>
        <w:t>3</w:t>
      </w:r>
      <w:r w:rsidRPr="00AC1E5F">
        <w:rPr>
          <w:rFonts w:cs="Arial"/>
          <w:szCs w:val="24"/>
          <w:vertAlign w:val="superscript"/>
        </w:rPr>
        <w:t>2</w:t>
      </w:r>
      <w:r w:rsidRPr="00AC1E5F">
        <w:rPr>
          <w:rFonts w:ascii="Symbol" w:hAnsi="Symbol" w:cs="Arial"/>
          <w:szCs w:val="24"/>
          <w:vertAlign w:val="superscript"/>
        </w:rPr>
        <w:t></w:t>
      </w:r>
      <w:r w:rsidRPr="00AC1E5F">
        <w:rPr>
          <w:rFonts w:cs="Arial"/>
          <w:szCs w:val="24"/>
        </w:rPr>
        <w:t xml:space="preserve"> is two equivalents of alkalinity. Because the total alkalinity is a composite parameter that is not really the number of moles of any particular chemical, the units equiv/L are used. The idea is that, with respect to H(+) binding, one mole of CO</w:t>
      </w:r>
      <w:r w:rsidRPr="00AC1E5F">
        <w:rPr>
          <w:rFonts w:cs="Arial"/>
          <w:szCs w:val="24"/>
          <w:vertAlign w:val="subscript"/>
        </w:rPr>
        <w:t>3</w:t>
      </w:r>
      <w:r w:rsidRPr="00AC1E5F">
        <w:rPr>
          <w:rFonts w:cs="Arial"/>
          <w:szCs w:val="24"/>
          <w:vertAlign w:val="superscript"/>
        </w:rPr>
        <w:t>2</w:t>
      </w:r>
      <w:r w:rsidRPr="00AC1E5F">
        <w:rPr>
          <w:rFonts w:ascii="Symbol" w:hAnsi="Symbol" w:cs="Arial"/>
          <w:szCs w:val="24"/>
          <w:vertAlign w:val="superscript"/>
        </w:rPr>
        <w:t></w:t>
      </w:r>
      <w:r w:rsidRPr="00AC1E5F">
        <w:rPr>
          <w:rFonts w:cs="Arial"/>
          <w:szCs w:val="24"/>
        </w:rPr>
        <w:t xml:space="preserve"> is "equivalent" to two moles of HCO</w:t>
      </w:r>
      <w:r w:rsidRPr="00AC1E5F">
        <w:rPr>
          <w:rFonts w:cs="Arial"/>
          <w:szCs w:val="24"/>
          <w:vertAlign w:val="subscript"/>
        </w:rPr>
        <w:t>3</w:t>
      </w:r>
      <w:r w:rsidRPr="00AC1E5F">
        <w:rPr>
          <w:rFonts w:ascii="Symbol" w:hAnsi="Symbol" w:cs="Arial"/>
          <w:szCs w:val="24"/>
          <w:vertAlign w:val="superscript"/>
        </w:rPr>
        <w:t></w:t>
      </w:r>
      <w:r w:rsidRPr="00AC1E5F">
        <w:rPr>
          <w:rFonts w:cs="Arial"/>
          <w:szCs w:val="24"/>
        </w:rPr>
        <w:t>.</w:t>
      </w:r>
    </w:p>
    <w:p w:rsidR="00AC1E5F" w:rsidRPr="00AC1E5F" w:rsidRDefault="00AC1E5F" w:rsidP="00AC1E5F">
      <w:pPr>
        <w:rPr>
          <w:rFonts w:ascii="Symbol" w:hAnsi="Symbol"/>
          <w:szCs w:val="24"/>
        </w:rPr>
      </w:pPr>
      <w:r w:rsidRPr="00AC1E5F">
        <w:rPr>
          <w:rFonts w:cs="Arial"/>
          <w:szCs w:val="24"/>
        </w:rPr>
        <w:t>Historically, alkalinity has often been reported in units of “mg/L as CaCO</w:t>
      </w:r>
      <w:r w:rsidRPr="00AC1E5F">
        <w:rPr>
          <w:rFonts w:cs="Arial"/>
          <w:szCs w:val="24"/>
          <w:vertAlign w:val="subscript"/>
        </w:rPr>
        <w:t>3</w:t>
      </w:r>
      <w:r w:rsidRPr="00AC1E5F">
        <w:rPr>
          <w:rFonts w:cs="Arial"/>
          <w:szCs w:val="24"/>
        </w:rPr>
        <w:t>.” The meaning of this phrase is that the water being discussed has the same amount of alkalinity as would water that contained the specified number of mg/L of CaCO</w:t>
      </w:r>
      <w:r w:rsidRPr="00AC1E5F">
        <w:rPr>
          <w:rFonts w:cs="Arial"/>
          <w:szCs w:val="24"/>
          <w:vertAlign w:val="subscript"/>
        </w:rPr>
        <w:t>3</w:t>
      </w:r>
      <w:r w:rsidRPr="00AC1E5F">
        <w:rPr>
          <w:rFonts w:cs="Arial"/>
          <w:szCs w:val="24"/>
        </w:rPr>
        <w:t xml:space="preserve">. </w:t>
      </w:r>
      <w:r w:rsidR="00B23245">
        <w:rPr>
          <w:rFonts w:cs="Arial"/>
          <w:szCs w:val="24"/>
        </w:rPr>
        <w:t>N</w:t>
      </w:r>
      <w:r w:rsidRPr="00AC1E5F">
        <w:rPr>
          <w:rFonts w:cs="Arial"/>
          <w:szCs w:val="24"/>
        </w:rPr>
        <w:t xml:space="preserve">ote that this does </w:t>
      </w:r>
      <w:r w:rsidRPr="00AC1E5F">
        <w:rPr>
          <w:rFonts w:cs="Arial"/>
          <w:b/>
          <w:szCs w:val="24"/>
        </w:rPr>
        <w:t>not</w:t>
      </w:r>
      <w:r w:rsidRPr="00AC1E5F">
        <w:rPr>
          <w:rFonts w:cs="Arial"/>
          <w:szCs w:val="24"/>
        </w:rPr>
        <w:t xml:space="preserve"> mean that the water actually contains that amount of CaCO</w:t>
      </w:r>
      <w:r w:rsidRPr="00AC1E5F">
        <w:rPr>
          <w:rFonts w:cs="Arial"/>
          <w:szCs w:val="24"/>
          <w:vertAlign w:val="subscript"/>
        </w:rPr>
        <w:t>3</w:t>
      </w:r>
      <w:r w:rsidRPr="00AC1E5F">
        <w:rPr>
          <w:rFonts w:cs="Arial"/>
          <w:szCs w:val="24"/>
        </w:rPr>
        <w:t>, or for that matter that it contains any CaCO</w:t>
      </w:r>
      <w:r w:rsidRPr="00AC1E5F">
        <w:rPr>
          <w:rFonts w:cs="Arial"/>
          <w:szCs w:val="24"/>
          <w:vertAlign w:val="subscript"/>
        </w:rPr>
        <w:t>3</w:t>
      </w:r>
      <w:r w:rsidRPr="00AC1E5F">
        <w:rPr>
          <w:rFonts w:cs="Arial"/>
          <w:szCs w:val="24"/>
        </w:rPr>
        <w:t xml:space="preserve"> at all. When CaCO</w:t>
      </w:r>
      <w:r w:rsidRPr="00AC1E5F">
        <w:rPr>
          <w:rFonts w:cs="Arial"/>
          <w:szCs w:val="24"/>
          <w:vertAlign w:val="subscript"/>
        </w:rPr>
        <w:t>3</w:t>
      </w:r>
      <w:r w:rsidRPr="00AC1E5F">
        <w:rPr>
          <w:rFonts w:cs="Arial"/>
          <w:szCs w:val="24"/>
        </w:rPr>
        <w:t xml:space="preserve"> dissolves in water, it releases one Ca</w:t>
      </w:r>
      <w:r w:rsidRPr="00AC1E5F">
        <w:rPr>
          <w:rFonts w:cs="Arial"/>
          <w:szCs w:val="24"/>
          <w:vertAlign w:val="superscript"/>
        </w:rPr>
        <w:t>2+</w:t>
      </w:r>
      <w:r w:rsidRPr="00AC1E5F">
        <w:rPr>
          <w:rFonts w:cs="Arial"/>
          <w:szCs w:val="24"/>
        </w:rPr>
        <w:t xml:space="preserve"> and one CO</w:t>
      </w:r>
      <w:r w:rsidRPr="00AC1E5F">
        <w:rPr>
          <w:rFonts w:cs="Arial"/>
          <w:szCs w:val="24"/>
          <w:vertAlign w:val="subscript"/>
        </w:rPr>
        <w:t>3</w:t>
      </w:r>
      <w:r w:rsidRPr="00AC1E5F">
        <w:rPr>
          <w:rFonts w:cs="Arial"/>
          <w:szCs w:val="24"/>
          <w:vertAlign w:val="superscript"/>
        </w:rPr>
        <w:t>2</w:t>
      </w:r>
      <w:r w:rsidRPr="00AC1E5F">
        <w:rPr>
          <w:rFonts w:ascii="Symbol" w:hAnsi="Symbol" w:cs="Arial"/>
          <w:szCs w:val="24"/>
          <w:vertAlign w:val="superscript"/>
        </w:rPr>
        <w:t></w:t>
      </w:r>
      <w:r w:rsidRPr="00AC1E5F">
        <w:rPr>
          <w:rFonts w:cs="Arial"/>
          <w:szCs w:val="24"/>
        </w:rPr>
        <w:t xml:space="preserve"> ion. The Ca</w:t>
      </w:r>
      <w:r w:rsidRPr="00AC1E5F">
        <w:rPr>
          <w:rFonts w:cs="Arial"/>
          <w:szCs w:val="24"/>
          <w:vertAlign w:val="superscript"/>
        </w:rPr>
        <w:t>2+</w:t>
      </w:r>
      <w:r w:rsidRPr="00AC1E5F">
        <w:rPr>
          <w:rFonts w:cs="Arial"/>
          <w:szCs w:val="24"/>
        </w:rPr>
        <w:t xml:space="preserve"> does not combined with or release H</w:t>
      </w:r>
      <w:r w:rsidRPr="00AC1E5F">
        <w:rPr>
          <w:rFonts w:cs="Arial"/>
          <w:szCs w:val="24"/>
          <w:vertAlign w:val="superscript"/>
        </w:rPr>
        <w:t>+</w:t>
      </w:r>
      <w:r w:rsidRPr="00AC1E5F">
        <w:rPr>
          <w:rFonts w:cs="Arial"/>
          <w:szCs w:val="24"/>
        </w:rPr>
        <w:t>, so it has no effect on the alkalinity. On the other hand, the CO</w:t>
      </w:r>
      <w:r w:rsidRPr="00AC1E5F">
        <w:rPr>
          <w:rFonts w:cs="Arial"/>
          <w:szCs w:val="24"/>
          <w:vertAlign w:val="subscript"/>
        </w:rPr>
        <w:t>3</w:t>
      </w:r>
      <w:r w:rsidRPr="00AC1E5F">
        <w:rPr>
          <w:rFonts w:cs="Arial"/>
          <w:szCs w:val="24"/>
          <w:vertAlign w:val="superscript"/>
        </w:rPr>
        <w:t>2</w:t>
      </w:r>
      <w:r w:rsidRPr="00AC1E5F">
        <w:rPr>
          <w:rFonts w:ascii="Symbol" w:hAnsi="Symbol" w:cs="Arial"/>
          <w:szCs w:val="24"/>
          <w:vertAlign w:val="superscript"/>
        </w:rPr>
        <w:t></w:t>
      </w:r>
      <w:r w:rsidRPr="00AC1E5F">
        <w:rPr>
          <w:rFonts w:cs="Arial"/>
          <w:szCs w:val="24"/>
        </w:rPr>
        <w:t xml:space="preserve"> ion has the capacity to combine with two H</w:t>
      </w:r>
      <w:r w:rsidRPr="00AC1E5F">
        <w:rPr>
          <w:rFonts w:cs="Arial"/>
          <w:szCs w:val="24"/>
          <w:vertAlign w:val="superscript"/>
        </w:rPr>
        <w:t>+</w:t>
      </w:r>
      <w:r w:rsidRPr="00AC1E5F">
        <w:rPr>
          <w:rFonts w:cs="Arial"/>
          <w:szCs w:val="24"/>
        </w:rPr>
        <w:t xml:space="preserve"> ions. Therefore, one mole of CaCO</w:t>
      </w:r>
      <w:r w:rsidRPr="00AC1E5F">
        <w:rPr>
          <w:rFonts w:cs="Arial"/>
          <w:szCs w:val="24"/>
          <w:vertAlign w:val="subscript"/>
        </w:rPr>
        <w:t>3</w:t>
      </w:r>
      <w:r w:rsidRPr="00AC1E5F">
        <w:rPr>
          <w:rFonts w:cs="Arial"/>
          <w:szCs w:val="24"/>
        </w:rPr>
        <w:t xml:space="preserve"> represents two equivalents of alkalinity. Because the molecular weight of CaCO</w:t>
      </w:r>
      <w:r w:rsidRPr="00AC1E5F">
        <w:rPr>
          <w:rFonts w:cs="Arial"/>
          <w:szCs w:val="24"/>
          <w:vertAlign w:val="subscript"/>
        </w:rPr>
        <w:t>3</w:t>
      </w:r>
      <w:r w:rsidRPr="00AC1E5F">
        <w:rPr>
          <w:rFonts w:cs="Arial"/>
          <w:szCs w:val="24"/>
        </w:rPr>
        <w:t xml:space="preserve"> is 100, the “equivalent weight” of CaCO</w:t>
      </w:r>
      <w:r w:rsidRPr="00AC1E5F">
        <w:rPr>
          <w:rFonts w:cs="Arial"/>
          <w:szCs w:val="24"/>
          <w:vertAlign w:val="subscript"/>
        </w:rPr>
        <w:t>3</w:t>
      </w:r>
      <w:r w:rsidRPr="00AC1E5F">
        <w:rPr>
          <w:rFonts w:cs="Arial"/>
          <w:szCs w:val="24"/>
        </w:rPr>
        <w:t xml:space="preserve"> is 50 g/equiv, or 50 mg/meq. (Conventionally, the abbreviation for equivalents is equiv, but that for milliequivalents is meq.)</w:t>
      </w:r>
    </w:p>
    <w:p w:rsidR="00DC2A9A" w:rsidRDefault="00EF7C9F" w:rsidP="00EF7C9F">
      <w:pPr>
        <w:ind w:firstLine="0"/>
      </w:pPr>
      <w:r w:rsidRPr="00EF7C9F">
        <w:rPr>
          <w:b/>
        </w:rPr>
        <w:t>E</w:t>
      </w:r>
      <w:r w:rsidR="00DC2A9A" w:rsidRPr="00EF7C9F">
        <w:rPr>
          <w:b/>
        </w:rPr>
        <w:t>xample</w:t>
      </w:r>
      <w:r>
        <w:rPr>
          <w:b/>
        </w:rPr>
        <w:t>.</w:t>
      </w:r>
      <w:r>
        <w:t xml:space="preserve"> Determine the carbonate speciation in a solution with </w:t>
      </w:r>
      <w:r w:rsidR="00DC2A9A">
        <w:t>the following, experimentally determined characteristics:</w:t>
      </w:r>
    </w:p>
    <w:p w:rsidR="00DC2A9A" w:rsidRDefault="00DC2A9A" w:rsidP="0079084D">
      <w:r>
        <w:t xml:space="preserve">pH = 7.0;   </w:t>
      </w:r>
      <w:r>
        <w:rPr>
          <w:i/>
        </w:rPr>
        <w:t>ALK</w:t>
      </w:r>
      <w:r>
        <w:t xml:space="preserve"> = 1.0</w:t>
      </w:r>
      <w:r>
        <w:rPr>
          <w:vertAlign w:val="superscript"/>
        </w:rPr>
        <w:t> </w:t>
      </w:r>
      <w:r>
        <w:t>x</w:t>
      </w:r>
      <w:r>
        <w:rPr>
          <w:vertAlign w:val="superscript"/>
        </w:rPr>
        <w:t> </w:t>
      </w:r>
      <w:r>
        <w:t>10</w:t>
      </w:r>
      <w:r>
        <w:rPr>
          <w:rFonts w:ascii="Symbol" w:hAnsi="Symbol"/>
          <w:vertAlign w:val="superscript"/>
        </w:rPr>
        <w:t></w:t>
      </w:r>
      <w:r>
        <w:rPr>
          <w:vertAlign w:val="superscript"/>
        </w:rPr>
        <w:t>3</w:t>
      </w:r>
      <w:r>
        <w:t xml:space="preserve"> equiv/L;   </w:t>
      </w:r>
      <w:r w:rsidR="00354EBA">
        <w:t>(Ca</w:t>
      </w:r>
      <w:r w:rsidR="00354EBA">
        <w:rPr>
          <w:vertAlign w:val="superscript"/>
        </w:rPr>
        <w:t>2+</w:t>
      </w:r>
      <w:r w:rsidR="00354EBA">
        <w:t>) = 3</w:t>
      </w:r>
      <w:r w:rsidR="00354EBA">
        <w:rPr>
          <w:vertAlign w:val="superscript"/>
        </w:rPr>
        <w:t> </w:t>
      </w:r>
      <w:r w:rsidR="00354EBA">
        <w:t>x</w:t>
      </w:r>
      <w:r w:rsidR="00354EBA">
        <w:rPr>
          <w:vertAlign w:val="superscript"/>
        </w:rPr>
        <w:t> </w:t>
      </w:r>
      <w:r w:rsidR="00354EBA">
        <w:t>10</w:t>
      </w:r>
      <w:r w:rsidR="00354EBA">
        <w:rPr>
          <w:rFonts w:ascii="Symbol" w:hAnsi="Symbol"/>
          <w:vertAlign w:val="superscript"/>
        </w:rPr>
        <w:t></w:t>
      </w:r>
      <w:r w:rsidR="00354EBA">
        <w:rPr>
          <w:vertAlign w:val="superscript"/>
        </w:rPr>
        <w:t>3</w:t>
      </w:r>
      <w:r w:rsidR="00354EBA">
        <w:t xml:space="preserve"> mol/L = 120 mg/L</w:t>
      </w:r>
    </w:p>
    <w:p w:rsidR="00354EBA" w:rsidRDefault="00EF7C9F" w:rsidP="00EF7C9F">
      <w:pPr>
        <w:ind w:firstLine="0"/>
      </w:pPr>
      <w:r>
        <w:t>W</w:t>
      </w:r>
      <w:r w:rsidR="00354EBA">
        <w:t>e first use equilibrium constants to find some other values that characterize the solution:</w:t>
      </w:r>
    </w:p>
    <w:p w:rsidR="00354EBA" w:rsidRDefault="00354EBA" w:rsidP="00354EBA">
      <w:r w:rsidRPr="0079084D">
        <w:rPr>
          <w:position w:val="-18"/>
        </w:rPr>
        <w:object w:dxaOrig="4420" w:dyaOrig="480">
          <v:shape id="_x0000_i1031" type="#_x0000_t75" style="width:221.25pt;height:24pt" o:ole="">
            <v:imagedata r:id="rId18" o:title=""/>
          </v:shape>
          <o:OLEObject Type="Embed" ProgID="Equation.DSMT4" ShapeID="_x0000_i1031" DrawAspect="Content" ObjectID="_1295966880" r:id="rId20"/>
        </w:object>
      </w:r>
    </w:p>
    <w:p w:rsidR="00354EBA" w:rsidRDefault="00354EBA" w:rsidP="00354EBA">
      <w:pPr>
        <w:keepNext/>
      </w:pPr>
      <w:r w:rsidRPr="00354EBA">
        <w:rPr>
          <w:position w:val="-40"/>
        </w:rPr>
        <w:object w:dxaOrig="5179" w:dyaOrig="920">
          <v:shape id="_x0000_i1032" type="#_x0000_t75" style="width:258.75pt;height:45.75pt" o:ole="">
            <v:imagedata r:id="rId21" o:title=""/>
          </v:shape>
          <o:OLEObject Type="Embed" ProgID="Equation.DSMT4" ShapeID="_x0000_i1032" DrawAspect="Content" ObjectID="_1295966881" r:id="rId22"/>
        </w:object>
      </w:r>
    </w:p>
    <w:p w:rsidR="00354EBA" w:rsidRDefault="00354EBA" w:rsidP="00354EBA">
      <w:pPr>
        <w:keepNext/>
      </w:pPr>
      <w:r w:rsidRPr="00354EBA">
        <w:rPr>
          <w:position w:val="-32"/>
        </w:rPr>
        <w:object w:dxaOrig="4959" w:dyaOrig="760">
          <v:shape id="_x0000_i1033" type="#_x0000_t75" style="width:248.25pt;height:38.25pt" o:ole="">
            <v:imagedata r:id="rId23" o:title=""/>
          </v:shape>
          <o:OLEObject Type="Embed" ProgID="Equation.DSMT4" ShapeID="_x0000_i1033" DrawAspect="Content" ObjectID="_1295966882" r:id="rId24"/>
        </w:object>
      </w:r>
    </w:p>
    <w:p w:rsidR="00354EBA" w:rsidRDefault="00354EBA" w:rsidP="00354EBA">
      <w:pPr>
        <w:keepNext/>
      </w:pPr>
      <w:r w:rsidRPr="00354EBA">
        <w:rPr>
          <w:position w:val="-18"/>
        </w:rPr>
        <w:object w:dxaOrig="4599" w:dyaOrig="480">
          <v:shape id="_x0000_i1034" type="#_x0000_t75" style="width:230.25pt;height:24pt" o:ole="">
            <v:imagedata r:id="rId25" o:title=""/>
          </v:shape>
          <o:OLEObject Type="Embed" ProgID="Equation.DSMT4" ShapeID="_x0000_i1034" DrawAspect="Content" ObjectID="_1295966883" r:id="rId26"/>
        </w:object>
      </w:r>
    </w:p>
    <w:p w:rsidR="00354EBA" w:rsidRDefault="00354EBA" w:rsidP="00354EBA">
      <w:r w:rsidRPr="00354EBA">
        <w:rPr>
          <w:position w:val="-18"/>
        </w:rPr>
        <w:object w:dxaOrig="2560" w:dyaOrig="480">
          <v:shape id="_x0000_i1035" type="#_x0000_t75" style="width:128.25pt;height:24pt" o:ole="">
            <v:imagedata r:id="rId27" o:title=""/>
          </v:shape>
          <o:OLEObject Type="Embed" ProgID="Equation.DSMT4" ShapeID="_x0000_i1035" DrawAspect="Content" ObjectID="_1295966884" r:id="rId28"/>
        </w:object>
      </w:r>
    </w:p>
    <w:p w:rsidR="00B42554" w:rsidRDefault="00B42554" w:rsidP="00354EBA">
      <w:r w:rsidRPr="00B42554">
        <w:rPr>
          <w:position w:val="-24"/>
        </w:rPr>
        <w:object w:dxaOrig="3100" w:dyaOrig="680">
          <v:shape id="_x0000_i1036" type="#_x0000_t75" style="width:155.25pt;height:33.75pt" o:ole="">
            <v:imagedata r:id="rId29" o:title=""/>
          </v:shape>
          <o:OLEObject Type="Embed" ProgID="Equation.DSMT4" ShapeID="_x0000_i1036" DrawAspect="Content" ObjectID="_1295966885" r:id="rId30"/>
        </w:object>
      </w:r>
    </w:p>
    <w:p w:rsidR="00B42554" w:rsidRDefault="00B42554" w:rsidP="00354EBA">
      <w:r w:rsidRPr="00354EBA">
        <w:rPr>
          <w:position w:val="-40"/>
        </w:rPr>
        <w:object w:dxaOrig="4520" w:dyaOrig="920">
          <v:shape id="_x0000_i1037" type="#_x0000_t75" style="width:225.75pt;height:45.75pt" o:ole="">
            <v:imagedata r:id="rId31" o:title=""/>
          </v:shape>
          <o:OLEObject Type="Embed" ProgID="Equation.DSMT4" ShapeID="_x0000_i1037" DrawAspect="Content" ObjectID="_1295966886" r:id="rId32"/>
        </w:object>
      </w:r>
    </w:p>
    <w:p w:rsidR="00B42554" w:rsidRDefault="00B42554" w:rsidP="00354EBA">
      <w:r w:rsidRPr="00B42554">
        <w:rPr>
          <w:position w:val="-30"/>
        </w:rPr>
        <w:object w:dxaOrig="5640" w:dyaOrig="820">
          <v:shape id="_x0000_i1038" type="#_x0000_t75" style="width:282pt;height:41.25pt" o:ole="">
            <v:imagedata r:id="rId33" o:title=""/>
          </v:shape>
          <o:OLEObject Type="Embed" ProgID="Equation.DSMT4" ShapeID="_x0000_i1038" DrawAspect="Content" ObjectID="_1295966887" r:id="rId34"/>
        </w:object>
      </w:r>
    </w:p>
    <w:p w:rsidR="0021235F" w:rsidRDefault="0021235F" w:rsidP="0021235F">
      <w:pPr>
        <w:keepNext/>
      </w:pPr>
      <w:r w:rsidRPr="0079084D">
        <w:rPr>
          <w:position w:val="-18"/>
        </w:rPr>
        <w:object w:dxaOrig="4200" w:dyaOrig="480">
          <v:shape id="_x0000_i1039" type="#_x0000_t75" style="width:210pt;height:24pt" o:ole="">
            <v:imagedata r:id="rId35" o:title=""/>
          </v:shape>
          <o:OLEObject Type="Embed" ProgID="Equation.DSMT4" ShapeID="_x0000_i1039" DrawAspect="Content" ObjectID="_1295966888" r:id="rId36"/>
        </w:object>
      </w:r>
    </w:p>
    <w:p w:rsidR="0021235F" w:rsidRDefault="0021235F" w:rsidP="00354EBA">
      <w:r w:rsidRPr="0021235F">
        <w:rPr>
          <w:position w:val="-6"/>
        </w:rPr>
        <w:object w:dxaOrig="5000" w:dyaOrig="340">
          <v:shape id="_x0000_i1040" type="#_x0000_t75" style="width:249.75pt;height:17.25pt" o:ole="">
            <v:imagedata r:id="rId37" o:title=""/>
          </v:shape>
          <o:OLEObject Type="Embed" ProgID="Equation.DSMT4" ShapeID="_x0000_i1040" DrawAspect="Content" ObjectID="_1295966889" r:id="rId38"/>
        </w:object>
      </w:r>
    </w:p>
    <w:p w:rsidR="008E7547" w:rsidRDefault="008E7547" w:rsidP="00354EBA">
      <w:r>
        <w:t>The results indicate that almost all the alkalinity is contributed by HCO</w:t>
      </w:r>
      <w:r>
        <w:rPr>
          <w:vertAlign w:val="subscript"/>
        </w:rPr>
        <w:t>3</w:t>
      </w:r>
      <w:r>
        <w:rPr>
          <w:rFonts w:ascii="Symbol" w:hAnsi="Symbol"/>
          <w:vertAlign w:val="superscript"/>
        </w:rPr>
        <w:t></w:t>
      </w:r>
      <w:r>
        <w:t xml:space="preserve">. They also indicate </w:t>
      </w:r>
      <w:r w:rsidR="00167C71">
        <w:t xml:space="preserve">that </w:t>
      </w:r>
      <w:r>
        <w:t>the majority of the carbonate is present as HCO</w:t>
      </w:r>
      <w:r>
        <w:rPr>
          <w:vertAlign w:val="subscript"/>
        </w:rPr>
        <w:t>3</w:t>
      </w:r>
      <w:r>
        <w:rPr>
          <w:rFonts w:ascii="Symbol" w:hAnsi="Symbol"/>
          <w:vertAlign w:val="superscript"/>
        </w:rPr>
        <w:t></w:t>
      </w:r>
      <w:r>
        <w:t>, but that H</w:t>
      </w:r>
      <w:r>
        <w:rPr>
          <w:vertAlign w:val="subscript"/>
        </w:rPr>
        <w:t>2</w:t>
      </w:r>
      <w:r>
        <w:t>CO</w:t>
      </w:r>
      <w:r>
        <w:rPr>
          <w:vertAlign w:val="subscript"/>
        </w:rPr>
        <w:t>3</w:t>
      </w:r>
      <w:r>
        <w:t xml:space="preserve"> also contributes a substantial fraction; on the other hand, the contribution of CO</w:t>
      </w:r>
      <w:r>
        <w:rPr>
          <w:vertAlign w:val="subscript"/>
        </w:rPr>
        <w:t>3</w:t>
      </w:r>
      <w:r>
        <w:rPr>
          <w:vertAlign w:val="superscript"/>
        </w:rPr>
        <w:t>2</w:t>
      </w:r>
      <w:r>
        <w:rPr>
          <w:rFonts w:ascii="Symbol" w:hAnsi="Symbol"/>
          <w:vertAlign w:val="superscript"/>
        </w:rPr>
        <w:t></w:t>
      </w:r>
      <w:r>
        <w:t xml:space="preserve"> to either </w:t>
      </w:r>
      <w:r>
        <w:rPr>
          <w:i/>
        </w:rPr>
        <w:t>ALK</w:t>
      </w:r>
      <w:r>
        <w:t xml:space="preserve"> or </w:t>
      </w:r>
      <w:r>
        <w:rPr>
          <w:i/>
        </w:rPr>
        <w:t>TOT</w:t>
      </w:r>
      <w:r>
        <w:t>CO</w:t>
      </w:r>
      <w:r>
        <w:rPr>
          <w:vertAlign w:val="subscript"/>
        </w:rPr>
        <w:t>3</w:t>
      </w:r>
      <w:r>
        <w:t xml:space="preserve"> is negligible.</w:t>
      </w:r>
      <w:r w:rsidR="000D0CC0" w:rsidRPr="000D0CC0">
        <w:t xml:space="preserve"> </w:t>
      </w:r>
      <w:r w:rsidR="000D0CC0">
        <w:t>This result is consistent with the carbonate speciation figure shown above.</w:t>
      </w:r>
    </w:p>
    <w:sectPr w:rsidR="008E7547" w:rsidSect="00610A21">
      <w:footerReference w:type="even" r:id="rId39"/>
      <w:footerReference w:type="default" r:id="rId40"/>
      <w:footerReference w:type="first" r:id="rId41"/>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D3E" w:rsidRDefault="00DC3D3E">
      <w:r>
        <w:separator/>
      </w:r>
    </w:p>
  </w:endnote>
  <w:endnote w:type="continuationSeparator" w:id="1">
    <w:p w:rsidR="00DC3D3E" w:rsidRDefault="00DC3D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0E" w:rsidRDefault="0084160E" w:rsidP="00790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160E" w:rsidRDefault="0084160E" w:rsidP="007908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0E" w:rsidRDefault="0084160E" w:rsidP="00790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7C9F">
      <w:rPr>
        <w:rStyle w:val="PageNumber"/>
        <w:noProof/>
      </w:rPr>
      <w:t>4</w:t>
    </w:r>
    <w:r>
      <w:rPr>
        <w:rStyle w:val="PageNumber"/>
      </w:rPr>
      <w:fldChar w:fldCharType="end"/>
    </w:r>
  </w:p>
  <w:p w:rsidR="0084160E" w:rsidRDefault="0084160E" w:rsidP="0079084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0E" w:rsidRPr="00610A21" w:rsidRDefault="0084160E">
    <w:pPr>
      <w:pStyle w:val="Footer"/>
      <w:rPr>
        <w:sz w:val="20"/>
      </w:rPr>
    </w:pPr>
    <w:r w:rsidRPr="00610A21">
      <w:rPr>
        <w:snapToGrid w:val="0"/>
        <w:sz w:val="20"/>
      </w:rPr>
      <w:fldChar w:fldCharType="begin"/>
    </w:r>
    <w:r w:rsidRPr="00610A21">
      <w:rPr>
        <w:snapToGrid w:val="0"/>
        <w:sz w:val="20"/>
      </w:rPr>
      <w:instrText xml:space="preserve"> FILENAME \p </w:instrText>
    </w:r>
    <w:r w:rsidRPr="00610A21">
      <w:rPr>
        <w:snapToGrid w:val="0"/>
        <w:sz w:val="20"/>
      </w:rPr>
      <w:fldChar w:fldCharType="separate"/>
    </w:r>
    <w:r>
      <w:rPr>
        <w:noProof/>
        <w:snapToGrid w:val="0"/>
        <w:sz w:val="20"/>
      </w:rPr>
      <w:t>C:\Adata\CLASNOTE\483\483 in 06\Precipitation notes.doc</w:t>
    </w:r>
    <w:r w:rsidRPr="00610A21">
      <w:rPr>
        <w:snapToGrid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D3E" w:rsidRDefault="00DC3D3E">
      <w:r>
        <w:separator/>
      </w:r>
    </w:p>
  </w:footnote>
  <w:footnote w:type="continuationSeparator" w:id="1">
    <w:p w:rsidR="00DC3D3E" w:rsidRDefault="00DC3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2355A"/>
    <w:multiLevelType w:val="hybridMultilevel"/>
    <w:tmpl w:val="D4403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667D09"/>
    <w:multiLevelType w:val="hybridMultilevel"/>
    <w:tmpl w:val="3AA65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dgnword-docGUID" w:val="{5879D54C-202E-4F93-B2F7-9527C710DE8B}"/>
    <w:docVar w:name="dgnword-eventsink" w:val="11683384"/>
  </w:docVars>
  <w:rsids>
    <w:rsidRoot w:val="006942D5"/>
    <w:rsid w:val="0009454F"/>
    <w:rsid w:val="000B1941"/>
    <w:rsid w:val="000D0CC0"/>
    <w:rsid w:val="0012126F"/>
    <w:rsid w:val="00126A36"/>
    <w:rsid w:val="00134E58"/>
    <w:rsid w:val="00161EEB"/>
    <w:rsid w:val="00167C71"/>
    <w:rsid w:val="001A253E"/>
    <w:rsid w:val="001A2AC6"/>
    <w:rsid w:val="001A4A57"/>
    <w:rsid w:val="0021235F"/>
    <w:rsid w:val="002E249B"/>
    <w:rsid w:val="002E7B0E"/>
    <w:rsid w:val="00325021"/>
    <w:rsid w:val="00346739"/>
    <w:rsid w:val="00354EBA"/>
    <w:rsid w:val="00370B74"/>
    <w:rsid w:val="003971D0"/>
    <w:rsid w:val="00430668"/>
    <w:rsid w:val="00434FB4"/>
    <w:rsid w:val="004A2593"/>
    <w:rsid w:val="004A499B"/>
    <w:rsid w:val="004B5A91"/>
    <w:rsid w:val="004E13B6"/>
    <w:rsid w:val="004E4557"/>
    <w:rsid w:val="004F32C6"/>
    <w:rsid w:val="00540222"/>
    <w:rsid w:val="00545C1A"/>
    <w:rsid w:val="005700E6"/>
    <w:rsid w:val="005E78FC"/>
    <w:rsid w:val="00610A21"/>
    <w:rsid w:val="006942D5"/>
    <w:rsid w:val="006B6894"/>
    <w:rsid w:val="006E31B2"/>
    <w:rsid w:val="006F1503"/>
    <w:rsid w:val="0073726C"/>
    <w:rsid w:val="00741A90"/>
    <w:rsid w:val="00786A7D"/>
    <w:rsid w:val="0079084D"/>
    <w:rsid w:val="00794032"/>
    <w:rsid w:val="007C0376"/>
    <w:rsid w:val="007E47FA"/>
    <w:rsid w:val="00811296"/>
    <w:rsid w:val="008200B9"/>
    <w:rsid w:val="0084079F"/>
    <w:rsid w:val="0084160E"/>
    <w:rsid w:val="00850946"/>
    <w:rsid w:val="008C01EA"/>
    <w:rsid w:val="008E7547"/>
    <w:rsid w:val="009178A4"/>
    <w:rsid w:val="009812F3"/>
    <w:rsid w:val="00A307D1"/>
    <w:rsid w:val="00A33D2B"/>
    <w:rsid w:val="00A411DD"/>
    <w:rsid w:val="00A76958"/>
    <w:rsid w:val="00AC1E5F"/>
    <w:rsid w:val="00AF4A8F"/>
    <w:rsid w:val="00B13164"/>
    <w:rsid w:val="00B2022B"/>
    <w:rsid w:val="00B23245"/>
    <w:rsid w:val="00B30CC3"/>
    <w:rsid w:val="00B31073"/>
    <w:rsid w:val="00B42554"/>
    <w:rsid w:val="00B96DB7"/>
    <w:rsid w:val="00BD4AEA"/>
    <w:rsid w:val="00C355C9"/>
    <w:rsid w:val="00C404B9"/>
    <w:rsid w:val="00C86301"/>
    <w:rsid w:val="00CA070A"/>
    <w:rsid w:val="00CD546D"/>
    <w:rsid w:val="00CE64FF"/>
    <w:rsid w:val="00CF46A0"/>
    <w:rsid w:val="00D24294"/>
    <w:rsid w:val="00D556FB"/>
    <w:rsid w:val="00DA28FA"/>
    <w:rsid w:val="00DB0915"/>
    <w:rsid w:val="00DC2A9A"/>
    <w:rsid w:val="00DC3D3E"/>
    <w:rsid w:val="00DD0F17"/>
    <w:rsid w:val="00DE0DB3"/>
    <w:rsid w:val="00EA5469"/>
    <w:rsid w:val="00EF7C9F"/>
    <w:rsid w:val="00F121B1"/>
    <w:rsid w:val="00F2486C"/>
    <w:rsid w:val="00F270CB"/>
    <w:rsid w:val="00F86776"/>
    <w:rsid w:val="00FE2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8FA"/>
    <w:pPr>
      <w:spacing w:after="240"/>
      <w:ind w:firstLine="360"/>
    </w:pPr>
    <w:rPr>
      <w:sz w:val="24"/>
    </w:rPr>
  </w:style>
  <w:style w:type="paragraph" w:styleId="Heading1">
    <w:name w:val="heading 1"/>
    <w:basedOn w:val="Normal"/>
    <w:next w:val="Normal"/>
    <w:qFormat/>
    <w:pPr>
      <w:keepNext/>
      <w:spacing w:before="240"/>
      <w:ind w:firstLine="0"/>
      <w:outlineLvl w:val="0"/>
    </w:pPr>
    <w:rPr>
      <w:rFonts w:ascii="Univers (W1)" w:hAnsi="Univers (W1)"/>
      <w:b/>
      <w:bCs/>
      <w:caps/>
      <w:szCs w:val="24"/>
      <w:u w:val="single"/>
    </w:rPr>
  </w:style>
  <w:style w:type="paragraph" w:styleId="Heading2">
    <w:name w:val="heading 2"/>
    <w:basedOn w:val="Normal"/>
    <w:next w:val="Normal"/>
    <w:qFormat/>
    <w:pPr>
      <w:keepNext/>
      <w:spacing w:before="240"/>
      <w:ind w:left="360" w:firstLine="0"/>
      <w:outlineLvl w:val="1"/>
    </w:pPr>
    <w:rPr>
      <w:rFonts w:ascii="Univers (W1)" w:hAnsi="Univers (W1)"/>
      <w:b/>
      <w:bCs/>
      <w:szCs w:val="24"/>
    </w:rPr>
  </w:style>
  <w:style w:type="paragraph" w:styleId="Heading3">
    <w:name w:val="heading 3"/>
    <w:basedOn w:val="Normal"/>
    <w:next w:val="NormalIndent"/>
    <w:qFormat/>
    <w:pPr>
      <w:keepNext/>
      <w:ind w:left="360" w:firstLine="0"/>
      <w:outlineLvl w:val="2"/>
    </w:pPr>
    <w:rPr>
      <w:b/>
      <w:bCs/>
      <w:szCs w:val="24"/>
    </w:rPr>
  </w:style>
  <w:style w:type="paragraph" w:styleId="Heading4">
    <w:name w:val="heading 4"/>
    <w:basedOn w:val="Normal"/>
    <w:next w:val="NormalIndent"/>
    <w:qFormat/>
    <w:pPr>
      <w:ind w:left="360" w:firstLine="0"/>
      <w:outlineLvl w:val="3"/>
    </w:pPr>
    <w:rPr>
      <w:szCs w:val="24"/>
      <w:u w:val="single"/>
    </w:rPr>
  </w:style>
  <w:style w:type="paragraph" w:styleId="Heading5">
    <w:name w:val="heading 5"/>
    <w:basedOn w:val="Normal"/>
    <w:next w:val="NormalIndent"/>
    <w:qFormat/>
    <w:pPr>
      <w:ind w:left="720" w:firstLine="0"/>
      <w:outlineLvl w:val="4"/>
    </w:pPr>
    <w:rPr>
      <w:b/>
      <w:bCs/>
      <w:sz w:val="20"/>
    </w:rPr>
  </w:style>
  <w:style w:type="paragraph" w:styleId="Heading6">
    <w:name w:val="heading 6"/>
    <w:basedOn w:val="Normal"/>
    <w:next w:val="NormalIndent"/>
    <w:qFormat/>
    <w:pPr>
      <w:ind w:left="720" w:firstLine="0"/>
      <w:outlineLvl w:val="5"/>
    </w:pPr>
    <w:rPr>
      <w:sz w:val="20"/>
      <w:u w:val="single"/>
    </w:rPr>
  </w:style>
  <w:style w:type="paragraph" w:styleId="Heading7">
    <w:name w:val="heading 7"/>
    <w:basedOn w:val="Normal"/>
    <w:next w:val="NormalIndent"/>
    <w:qFormat/>
    <w:pPr>
      <w:ind w:left="720" w:firstLine="0"/>
      <w:outlineLvl w:val="6"/>
    </w:pPr>
    <w:rPr>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indentnospace">
    <w:name w:val="no indent no space"/>
    <w:basedOn w:val="noindent"/>
    <w:pPr>
      <w:keepNext/>
      <w:tabs>
        <w:tab w:val="clear" w:pos="6480"/>
      </w:tabs>
      <w:spacing w:after="0"/>
    </w:pPr>
  </w:style>
  <w:style w:type="paragraph" w:customStyle="1" w:styleId="noindent">
    <w:name w:val="no indent"/>
    <w:basedOn w:val="Normal"/>
    <w:pPr>
      <w:tabs>
        <w:tab w:val="left" w:pos="6480"/>
      </w:tabs>
      <w:ind w:firstLine="0"/>
    </w:pPr>
  </w:style>
  <w:style w:type="paragraph" w:customStyle="1" w:styleId="Noindent0">
    <w:name w:val="No indent"/>
    <w:basedOn w:val="Normal"/>
    <w:pPr>
      <w:ind w:firstLine="0"/>
    </w:pPr>
    <w:rPr>
      <w:sz w:val="20"/>
    </w:rPr>
  </w:style>
  <w:style w:type="paragraph" w:styleId="NormalIndent">
    <w:name w:val="Normal Indent"/>
    <w:basedOn w:val="Normal"/>
    <w:pPr>
      <w:ind w:left="720"/>
    </w:pPr>
  </w:style>
  <w:style w:type="paragraph" w:styleId="Footer">
    <w:name w:val="footer"/>
    <w:basedOn w:val="Normal"/>
    <w:rsid w:val="0079084D"/>
    <w:pPr>
      <w:tabs>
        <w:tab w:val="center" w:pos="4320"/>
        <w:tab w:val="right" w:pos="8640"/>
      </w:tabs>
    </w:pPr>
  </w:style>
  <w:style w:type="character" w:styleId="PageNumber">
    <w:name w:val="page number"/>
    <w:basedOn w:val="DefaultParagraphFont"/>
    <w:rsid w:val="0079084D"/>
  </w:style>
  <w:style w:type="paragraph" w:styleId="Header">
    <w:name w:val="header"/>
    <w:basedOn w:val="Normal"/>
    <w:rsid w:val="00610A21"/>
    <w:pPr>
      <w:tabs>
        <w:tab w:val="center" w:pos="4320"/>
        <w:tab w:val="right" w:pos="8640"/>
      </w:tabs>
    </w:pPr>
  </w:style>
  <w:style w:type="paragraph" w:styleId="BalloonText">
    <w:name w:val="Balloon Text"/>
    <w:basedOn w:val="Normal"/>
    <w:semiHidden/>
    <w:rsid w:val="00B31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1022</Words>
  <Characters>4959</Characters>
  <Application>Microsoft Office Word</Application>
  <DocSecurity>0</DocSecurity>
  <Lines>65</Lines>
  <Paragraphs>11</Paragraphs>
  <ScaleCrop>false</ScaleCrop>
  <HeadingPairs>
    <vt:vector size="2" baseType="variant">
      <vt:variant>
        <vt:lpstr>Title</vt:lpstr>
      </vt:variant>
      <vt:variant>
        <vt:i4>1</vt:i4>
      </vt:variant>
    </vt:vector>
  </HeadingPairs>
  <TitlesOfParts>
    <vt:vector size="1" baseType="lpstr">
      <vt:lpstr>Precipitative Softening Description + Example Analysis</vt:lpstr>
    </vt:vector>
  </TitlesOfParts>
  <Company>Univ. of Washington</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Precipitative Softening Description + Example Analysis</dc:title>
  <dc:subject/>
  <dc:creator>markbenj</dc:creator>
  <cp:keywords/>
  <dc:description/>
  <cp:lastModifiedBy> </cp:lastModifiedBy>
  <cp:revision>3</cp:revision>
  <cp:lastPrinted>2006-02-22T22:09:00Z</cp:lastPrinted>
  <dcterms:created xsi:type="dcterms:W3CDTF">2009-02-13T01:57:00Z</dcterms:created>
  <dcterms:modified xsi:type="dcterms:W3CDTF">2009-02-13T02:00:00Z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