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21" w:rsidRPr="0062695D" w:rsidRDefault="000C33B5" w:rsidP="0062695D">
      <w:pPr>
        <w:spacing w:after="0" w:line="240" w:lineRule="auto"/>
        <w:jc w:val="center"/>
        <w:rPr>
          <w:b/>
          <w:sz w:val="32"/>
          <w:szCs w:val="32"/>
        </w:rPr>
      </w:pPr>
      <w:r>
        <w:rPr>
          <w:b/>
          <w:sz w:val="32"/>
          <w:szCs w:val="32"/>
        </w:rPr>
        <w:t xml:space="preserve">Worksheet: </w:t>
      </w:r>
      <w:r w:rsidR="001D626A">
        <w:rPr>
          <w:b/>
          <w:sz w:val="32"/>
          <w:szCs w:val="32"/>
        </w:rPr>
        <w:t>how neurons communicate</w:t>
      </w:r>
    </w:p>
    <w:p w:rsidR="00FE1168" w:rsidRDefault="00FE1168" w:rsidP="00F46744">
      <w:pPr>
        <w:spacing w:after="0" w:line="240" w:lineRule="auto"/>
      </w:pPr>
    </w:p>
    <w:p w:rsidR="009061DA" w:rsidRPr="009061DA" w:rsidRDefault="009061DA" w:rsidP="00F46744">
      <w:pPr>
        <w:spacing w:after="0" w:line="240" w:lineRule="auto"/>
        <w:rPr>
          <w:u w:val="single"/>
        </w:rPr>
      </w:pPr>
      <w:r w:rsidRPr="009061DA">
        <w:rPr>
          <w:u w:val="single"/>
        </w:rPr>
        <w:t>Goal</w:t>
      </w:r>
    </w:p>
    <w:p w:rsidR="009061DA" w:rsidRDefault="009061DA" w:rsidP="00F46744">
      <w:pPr>
        <w:spacing w:after="0" w:line="240" w:lineRule="auto"/>
      </w:pPr>
    </w:p>
    <w:p w:rsidR="00D75D0C" w:rsidRDefault="009061DA" w:rsidP="00F46744">
      <w:pPr>
        <w:spacing w:after="0" w:line="240" w:lineRule="auto"/>
      </w:pPr>
      <w:r>
        <w:t xml:space="preserve">The goal of this worksheet is to help you understand how information is transmitted from one neuron to the next neuron in the nervous system.  </w:t>
      </w:r>
      <w:r w:rsidR="00100F77">
        <w:t>This can be summarized as follows:</w:t>
      </w:r>
    </w:p>
    <w:p w:rsidR="00100F77" w:rsidRDefault="00100F77" w:rsidP="00100F77">
      <w:pPr>
        <w:pStyle w:val="ListParagraph"/>
        <w:numPr>
          <w:ilvl w:val="0"/>
          <w:numId w:val="19"/>
        </w:numPr>
        <w:spacing w:after="0" w:line="240" w:lineRule="auto"/>
      </w:pPr>
      <w:r>
        <w:t xml:space="preserve">Communication through the nervous system involves </w:t>
      </w:r>
      <w:r w:rsidR="00354010">
        <w:t>changing the membrane potential (voltage) of neurons</w:t>
      </w:r>
      <w:r>
        <w:t>.</w:t>
      </w:r>
    </w:p>
    <w:p w:rsidR="00100F77" w:rsidRDefault="00354010" w:rsidP="00100F77">
      <w:pPr>
        <w:pStyle w:val="ListParagraph"/>
        <w:numPr>
          <w:ilvl w:val="0"/>
          <w:numId w:val="19"/>
        </w:numPr>
        <w:spacing w:after="0" w:line="240" w:lineRule="auto"/>
      </w:pPr>
      <w:r>
        <w:t>C</w:t>
      </w:r>
      <w:r w:rsidR="00100F77">
        <w:t>hang</w:t>
      </w:r>
      <w:r>
        <w:t>es in</w:t>
      </w:r>
      <w:r w:rsidR="00100F77">
        <w:t xml:space="preserve"> membrane potential </w:t>
      </w:r>
      <w:r>
        <w:t>occur</w:t>
      </w:r>
      <w:r w:rsidR="00100F77">
        <w:t xml:space="preserve"> when some ions move from one side of the membrane to the other.</w:t>
      </w:r>
    </w:p>
    <w:p w:rsidR="00100F77" w:rsidRDefault="00100F77" w:rsidP="00100F77">
      <w:pPr>
        <w:pStyle w:val="ListParagraph"/>
        <w:numPr>
          <w:ilvl w:val="0"/>
          <w:numId w:val="19"/>
        </w:numPr>
        <w:spacing w:after="0" w:line="240" w:lineRule="auto"/>
      </w:pPr>
      <w:r>
        <w:t>Ions cannot diffuse freely across the membrane; they can only pass through open ion channels.</w:t>
      </w:r>
    </w:p>
    <w:p w:rsidR="00100F77" w:rsidRPr="008839C3" w:rsidRDefault="00100F77" w:rsidP="00100F77">
      <w:pPr>
        <w:pStyle w:val="ListParagraph"/>
        <w:numPr>
          <w:ilvl w:val="0"/>
          <w:numId w:val="19"/>
        </w:numPr>
        <w:spacing w:after="0" w:line="240" w:lineRule="auto"/>
        <w:rPr>
          <w:b/>
        </w:rPr>
      </w:pPr>
      <w:r w:rsidRPr="008839C3">
        <w:rPr>
          <w:b/>
        </w:rPr>
        <w:t xml:space="preserve">Therefore, understanding neurons is basically a matter of which ion channels </w:t>
      </w:r>
      <w:r w:rsidR="00354010">
        <w:rPr>
          <w:b/>
        </w:rPr>
        <w:t xml:space="preserve">are </w:t>
      </w:r>
      <w:r w:rsidRPr="008839C3">
        <w:rPr>
          <w:b/>
        </w:rPr>
        <w:t>open when</w:t>
      </w:r>
      <w:r w:rsidR="00354010">
        <w:rPr>
          <w:b/>
        </w:rPr>
        <w:t>,</w:t>
      </w:r>
      <w:r w:rsidRPr="008839C3">
        <w:rPr>
          <w:b/>
        </w:rPr>
        <w:t xml:space="preserve"> where</w:t>
      </w:r>
      <w:r w:rsidR="00354010">
        <w:rPr>
          <w:b/>
        </w:rPr>
        <w:t>, and why</w:t>
      </w:r>
      <w:r w:rsidRPr="008839C3">
        <w:rPr>
          <w:b/>
        </w:rPr>
        <w:t>.</w:t>
      </w:r>
    </w:p>
    <w:p w:rsidR="00100F77" w:rsidRDefault="00100F77" w:rsidP="00F46744">
      <w:pPr>
        <w:spacing w:after="0" w:line="240" w:lineRule="auto"/>
      </w:pPr>
    </w:p>
    <w:p w:rsidR="00100F77" w:rsidRPr="00C7432E" w:rsidRDefault="00C7432E" w:rsidP="00F46744">
      <w:pPr>
        <w:spacing w:after="0" w:line="240" w:lineRule="auto"/>
        <w:rPr>
          <w:u w:val="single"/>
        </w:rPr>
      </w:pPr>
      <w:r>
        <w:rPr>
          <w:u w:val="single"/>
        </w:rPr>
        <w:t xml:space="preserve">(0) </w:t>
      </w:r>
      <w:r w:rsidR="00100F77">
        <w:rPr>
          <w:u w:val="single"/>
        </w:rPr>
        <w:t>Overview and context</w:t>
      </w:r>
    </w:p>
    <w:p w:rsidR="00C7432E" w:rsidRDefault="00C7432E" w:rsidP="00F46744">
      <w:pPr>
        <w:spacing w:after="0" w:line="240" w:lineRule="auto"/>
      </w:pPr>
    </w:p>
    <w:p w:rsidR="009061DA" w:rsidRDefault="009061DA" w:rsidP="00F46744">
      <w:pPr>
        <w:spacing w:after="0" w:line="240" w:lineRule="auto"/>
      </w:pPr>
      <w:r>
        <w:t>Th</w:t>
      </w:r>
      <w:r w:rsidR="00C7432E">
        <w:t>e</w:t>
      </w:r>
      <w:r>
        <w:t xml:space="preserve"> process </w:t>
      </w:r>
      <w:r w:rsidR="00C7432E">
        <w:t xml:space="preserve">of neuron-to-neuron communication </w:t>
      </w:r>
      <w:r>
        <w:t>involves several steps</w:t>
      </w:r>
      <w:r w:rsidR="00C7432E">
        <w:t>,</w:t>
      </w:r>
      <w:r>
        <w:t xml:space="preserve"> each of which is covered in a separate section below: </w:t>
      </w:r>
      <w:r w:rsidR="00C7432E">
        <w:t xml:space="preserve">(1) </w:t>
      </w:r>
      <w:r>
        <w:t xml:space="preserve">neurotransmitter release at synapses, </w:t>
      </w:r>
      <w:r w:rsidR="00C7432E">
        <w:t xml:space="preserve">(2) </w:t>
      </w:r>
      <w:r>
        <w:t xml:space="preserve">post-synaptic potentials (PSPs), </w:t>
      </w:r>
      <w:r w:rsidR="00C7432E">
        <w:t xml:space="preserve">(3) </w:t>
      </w:r>
      <w:r>
        <w:t xml:space="preserve">passive spread of PSPs, </w:t>
      </w:r>
      <w:r w:rsidR="00C7432E">
        <w:t xml:space="preserve">(4) </w:t>
      </w:r>
      <w:r>
        <w:t xml:space="preserve">summation of PSPs at the axon hillock, and </w:t>
      </w:r>
      <w:r w:rsidR="00C7432E">
        <w:t xml:space="preserve">(5) </w:t>
      </w:r>
      <w:r>
        <w:t xml:space="preserve">action potentials along the axon. </w:t>
      </w:r>
    </w:p>
    <w:p w:rsidR="009061DA" w:rsidRDefault="009061DA" w:rsidP="00F46744">
      <w:pPr>
        <w:spacing w:after="0" w:line="240" w:lineRule="auto"/>
      </w:pPr>
    </w:p>
    <w:p w:rsidR="00D75D0C" w:rsidRDefault="00100F77" w:rsidP="00F46744">
      <w:pPr>
        <w:spacing w:after="0" w:line="240" w:lineRule="auto"/>
      </w:pPr>
      <w:r>
        <w:t>Before running through the process in deta</w:t>
      </w:r>
      <w:r w:rsidR="00C7432E">
        <w:t>il</w:t>
      </w:r>
      <w:r>
        <w:t xml:space="preserve">, it may be helpful </w:t>
      </w:r>
      <w:r w:rsidR="000C60B3">
        <w:t>to review or learn</w:t>
      </w:r>
      <w:r>
        <w:t xml:space="preserve"> </w:t>
      </w:r>
      <w:r w:rsidR="000C60B3">
        <w:t>the building blocks listed below</w:t>
      </w:r>
      <w:r>
        <w:t>, all of which come into play during the process.</w:t>
      </w:r>
    </w:p>
    <w:p w:rsidR="00FE021A" w:rsidRDefault="00FE021A" w:rsidP="00F46744">
      <w:pPr>
        <w:spacing w:after="0" w:line="240" w:lineRule="auto"/>
      </w:pPr>
    </w:p>
    <w:p w:rsidR="00100F77" w:rsidRDefault="00100F77" w:rsidP="00100F77">
      <w:pPr>
        <w:spacing w:after="0" w:line="240" w:lineRule="auto"/>
      </w:pPr>
      <w:r w:rsidRPr="00100F77">
        <w:t>(A) Neuron anatomy</w:t>
      </w:r>
    </w:p>
    <w:p w:rsidR="00C7432E" w:rsidRPr="00100F77" w:rsidRDefault="00354010" w:rsidP="00C7432E">
      <w:pPr>
        <w:pStyle w:val="ListParagraph"/>
        <w:numPr>
          <w:ilvl w:val="0"/>
          <w:numId w:val="20"/>
        </w:numPr>
        <w:spacing w:after="0" w:line="240" w:lineRule="auto"/>
      </w:pPr>
      <w:r>
        <w:t>Draw a “generic” neuron and label</w:t>
      </w:r>
      <w:r w:rsidR="00C7432E">
        <w:t xml:space="preserve"> the following parts of a “generic” neuron: dendrites, cell body (soma), axon, axon hillock, axon terminal.</w:t>
      </w:r>
    </w:p>
    <w:p w:rsidR="00100F77" w:rsidRDefault="00100F77" w:rsidP="00100F77">
      <w:pPr>
        <w:spacing w:after="0" w:line="240" w:lineRule="auto"/>
      </w:pPr>
      <w:r w:rsidRPr="00100F77">
        <w:t>(B) Membrane potential</w:t>
      </w:r>
    </w:p>
    <w:p w:rsidR="00C7432E" w:rsidRDefault="000B2685" w:rsidP="00C7432E">
      <w:pPr>
        <w:pStyle w:val="ListParagraph"/>
        <w:numPr>
          <w:ilvl w:val="0"/>
          <w:numId w:val="20"/>
        </w:numPr>
        <w:spacing w:after="0" w:line="240" w:lineRule="auto"/>
      </w:pPr>
      <w:r>
        <w:t>What is the definition of membrane potential?</w:t>
      </w:r>
    </w:p>
    <w:p w:rsidR="000B2685" w:rsidRDefault="000B2685" w:rsidP="00C7432E">
      <w:pPr>
        <w:pStyle w:val="ListParagraph"/>
        <w:numPr>
          <w:ilvl w:val="0"/>
          <w:numId w:val="20"/>
        </w:numPr>
        <w:spacing w:after="0" w:line="240" w:lineRule="auto"/>
      </w:pPr>
      <w:r>
        <w:t>What is a typical membrane potential for a “resting” neuron?  Does this mean that the inside of the cell membrane is negative relative to the outside, or positive relative to the outside?</w:t>
      </w:r>
    </w:p>
    <w:p w:rsidR="000B2685" w:rsidRPr="00100F77" w:rsidRDefault="00BB54FE" w:rsidP="00C7432E">
      <w:pPr>
        <w:pStyle w:val="ListParagraph"/>
        <w:numPr>
          <w:ilvl w:val="0"/>
          <w:numId w:val="20"/>
        </w:numPr>
        <w:spacing w:after="0" w:line="240" w:lineRule="auto"/>
      </w:pPr>
      <w:r>
        <w:t xml:space="preserve">In the context of membrane potential, what does depolarization mean?  Repolarization?  Hyperpolarization? </w:t>
      </w:r>
    </w:p>
    <w:p w:rsidR="00100F77" w:rsidRDefault="00100F77" w:rsidP="00100F77">
      <w:pPr>
        <w:spacing w:after="0" w:line="240" w:lineRule="auto"/>
      </w:pPr>
      <w:r w:rsidRPr="00100F77">
        <w:t>(C) Electrochemical gradients</w:t>
      </w:r>
    </w:p>
    <w:p w:rsidR="000B2685" w:rsidRDefault="000B2685" w:rsidP="000B2685">
      <w:pPr>
        <w:pStyle w:val="ListParagraph"/>
        <w:numPr>
          <w:ilvl w:val="0"/>
          <w:numId w:val="21"/>
        </w:numPr>
        <w:spacing w:after="0" w:line="240" w:lineRule="auto"/>
      </w:pPr>
      <w:r>
        <w:t>What is a chemical (concentration) gradient, in general?</w:t>
      </w:r>
    </w:p>
    <w:p w:rsidR="000B2685" w:rsidRDefault="000B2685" w:rsidP="000B2685">
      <w:pPr>
        <w:pStyle w:val="ListParagraph"/>
        <w:numPr>
          <w:ilvl w:val="0"/>
          <w:numId w:val="21"/>
        </w:numPr>
        <w:spacing w:after="0" w:line="240" w:lineRule="auto"/>
      </w:pPr>
      <w:r>
        <w:t>What is an electrical gradient, in general?</w:t>
      </w:r>
      <w:r w:rsidR="00BB54FE">
        <w:t xml:space="preserve">  Which of the following phrases captures it better: “like attracts like,” or “opposites attract”?</w:t>
      </w:r>
    </w:p>
    <w:p w:rsidR="00354010" w:rsidRDefault="00BB54FE" w:rsidP="000B2685">
      <w:pPr>
        <w:pStyle w:val="ListParagraph"/>
        <w:numPr>
          <w:ilvl w:val="0"/>
          <w:numId w:val="21"/>
        </w:numPr>
        <w:spacing w:after="0" w:line="240" w:lineRule="auto"/>
      </w:pPr>
      <w:r>
        <w:t>Which molecular species, in general, are simultaneously governed both by their electrical gradients and their chemical gradients?</w:t>
      </w:r>
    </w:p>
    <w:p w:rsidR="000B2685" w:rsidRPr="00100F77" w:rsidRDefault="00354010" w:rsidP="000B2685">
      <w:pPr>
        <w:pStyle w:val="ListParagraph"/>
        <w:numPr>
          <w:ilvl w:val="0"/>
          <w:numId w:val="21"/>
        </w:numPr>
        <w:spacing w:after="0" w:line="240" w:lineRule="auto"/>
      </w:pPr>
      <w:r>
        <w:t>Na</w:t>
      </w:r>
      <w:r w:rsidRPr="00354010">
        <w:rPr>
          <w:vertAlign w:val="superscript"/>
        </w:rPr>
        <w:t>+</w:t>
      </w:r>
      <w:r>
        <w:t>, K</w:t>
      </w:r>
      <w:r w:rsidRPr="00354010">
        <w:rPr>
          <w:vertAlign w:val="superscript"/>
        </w:rPr>
        <w:t>+</w:t>
      </w:r>
      <w:r>
        <w:t>, and Cl</w:t>
      </w:r>
      <w:r w:rsidRPr="00354010">
        <w:rPr>
          <w:vertAlign w:val="superscript"/>
        </w:rPr>
        <w:t>-</w:t>
      </w:r>
      <w:r>
        <w:t xml:space="preserve"> are each subject to their own electrochemical gradient.  Which way – into cells, or out of cells – is each one driven by this gradient?</w:t>
      </w:r>
      <w:r w:rsidR="00BB54FE">
        <w:t xml:space="preserve"> </w:t>
      </w:r>
    </w:p>
    <w:p w:rsidR="00100F77" w:rsidRDefault="00100F77" w:rsidP="00100F77">
      <w:pPr>
        <w:spacing w:after="0" w:line="240" w:lineRule="auto"/>
      </w:pPr>
      <w:r w:rsidRPr="00100F77">
        <w:t>(D) Ion channels</w:t>
      </w:r>
    </w:p>
    <w:p w:rsidR="00BB54FE" w:rsidRDefault="00BB54FE" w:rsidP="00BB54FE">
      <w:pPr>
        <w:pStyle w:val="ListParagraph"/>
        <w:numPr>
          <w:ilvl w:val="0"/>
          <w:numId w:val="22"/>
        </w:numPr>
        <w:spacing w:after="0" w:line="240" w:lineRule="auto"/>
      </w:pPr>
      <w:r>
        <w:t xml:space="preserve">The three major types of ion channels in neurons are ligand-gated (or chemically gated) channeled, voltage-gated channels and non-gated (leakage) channels.  Explain the differences. </w:t>
      </w:r>
    </w:p>
    <w:p w:rsidR="00BB54FE" w:rsidRDefault="00BB54FE" w:rsidP="00BB54FE">
      <w:pPr>
        <w:pStyle w:val="ListParagraph"/>
        <w:numPr>
          <w:ilvl w:val="0"/>
          <w:numId w:val="22"/>
        </w:numPr>
        <w:spacing w:after="0" w:line="240" w:lineRule="auto"/>
      </w:pPr>
      <w:r>
        <w:t>Where along a typical neuron (dendrites, soma, and/or axon) are most ligand-gated channels found?  Where are most voltage-gated channels found?</w:t>
      </w:r>
    </w:p>
    <w:p w:rsidR="000C60B3" w:rsidRPr="00100F77" w:rsidRDefault="000C60B3" w:rsidP="000C60B3">
      <w:pPr>
        <w:pStyle w:val="ListParagraph"/>
        <w:spacing w:after="0" w:line="240" w:lineRule="auto"/>
      </w:pPr>
    </w:p>
    <w:p w:rsidR="00100F77" w:rsidRDefault="00100F77" w:rsidP="00100F77">
      <w:pPr>
        <w:spacing w:after="0" w:line="240" w:lineRule="auto"/>
      </w:pPr>
      <w:r w:rsidRPr="00100F77">
        <w:lastRenderedPageBreak/>
        <w:t>(E) Spread of electrical signal: passive vs. active</w:t>
      </w:r>
    </w:p>
    <w:p w:rsidR="00BB54FE" w:rsidRDefault="00354010" w:rsidP="00354010">
      <w:pPr>
        <w:pStyle w:val="ListParagraph"/>
        <w:numPr>
          <w:ilvl w:val="0"/>
          <w:numId w:val="23"/>
        </w:numPr>
        <w:spacing w:after="0" w:line="240" w:lineRule="auto"/>
      </w:pPr>
      <w:r>
        <w:t>If an ion channel opens, and ions enter or exit the cell, they will diffuse away from the channel, so the change in membrane potential will propagate along the cell membrane.  However</w:t>
      </w:r>
      <w:r w:rsidR="00FE021A">
        <w:t>,</w:t>
      </w:r>
      <w:r>
        <w:t xml:space="preserve"> this change wil</w:t>
      </w:r>
      <w:r w:rsidR="00FE021A">
        <w:t>l decay over distance</w:t>
      </w:r>
      <w:r>
        <w:t xml:space="preserve"> if not </w:t>
      </w:r>
      <w:r w:rsidR="00FE021A">
        <w:t xml:space="preserve">actively </w:t>
      </w:r>
      <w:r>
        <w:t>regenerated.  This is called “passive spread” of an electrical signal.</w:t>
      </w:r>
    </w:p>
    <w:p w:rsidR="00354010" w:rsidRDefault="00354010" w:rsidP="00354010">
      <w:pPr>
        <w:pStyle w:val="ListParagraph"/>
        <w:numPr>
          <w:ilvl w:val="0"/>
          <w:numId w:val="23"/>
        </w:numPr>
        <w:spacing w:after="0" w:line="240" w:lineRule="auto"/>
      </w:pPr>
      <w:r>
        <w:t>If a depolarization of a section of cell membrane and diffusion of the ions open voltage-gated channels, leading to the influx of more ions and further spreading of the depolarization, this is called “active spread.”</w:t>
      </w:r>
    </w:p>
    <w:p w:rsidR="00FE021A" w:rsidRPr="00100F77" w:rsidRDefault="00FE021A" w:rsidP="00354010">
      <w:pPr>
        <w:pStyle w:val="ListParagraph"/>
        <w:numPr>
          <w:ilvl w:val="0"/>
          <w:numId w:val="23"/>
        </w:numPr>
        <w:spacing w:after="0" w:line="240" w:lineRule="auto"/>
      </w:pPr>
      <w:r>
        <w:t>Note that this use of the terms “active” and “passive” is not exactly the same as</w:t>
      </w:r>
      <w:r w:rsidR="006616B6">
        <w:t xml:space="preserve"> their</w:t>
      </w:r>
      <w:r>
        <w:t xml:space="preserve"> us</w:t>
      </w:r>
      <w:r w:rsidR="006616B6">
        <w:t>e</w:t>
      </w:r>
      <w:r>
        <w:t xml:space="preserve"> in discussi</w:t>
      </w:r>
      <w:r w:rsidR="006616B6">
        <w:t>ons of</w:t>
      </w:r>
      <w:r>
        <w:t xml:space="preserve"> transport across cell membranes.</w:t>
      </w:r>
    </w:p>
    <w:p w:rsidR="00100F77" w:rsidRDefault="00100F77" w:rsidP="00100F77">
      <w:pPr>
        <w:spacing w:after="0" w:line="240" w:lineRule="auto"/>
      </w:pPr>
      <w:r w:rsidRPr="00100F77">
        <w:t>(F) Exocytosis (via vesicles)</w:t>
      </w:r>
    </w:p>
    <w:p w:rsidR="009832D3" w:rsidRDefault="00354010" w:rsidP="00354010">
      <w:pPr>
        <w:pStyle w:val="ListParagraph"/>
        <w:numPr>
          <w:ilvl w:val="0"/>
          <w:numId w:val="24"/>
        </w:numPr>
        <w:spacing w:after="0" w:line="240" w:lineRule="auto"/>
      </w:pPr>
      <w:r>
        <w:t>What does the term exocytosis mean in general?</w:t>
      </w:r>
    </w:p>
    <w:p w:rsidR="00354010" w:rsidRDefault="00354010" w:rsidP="00354010">
      <w:pPr>
        <w:pStyle w:val="ListParagraph"/>
        <w:numPr>
          <w:ilvl w:val="0"/>
          <w:numId w:val="24"/>
        </w:numPr>
        <w:spacing w:after="0" w:line="240" w:lineRule="auto"/>
      </w:pPr>
      <w:r>
        <w:t>Where in neurons does exocytosis occur?</w:t>
      </w:r>
    </w:p>
    <w:p w:rsidR="006616B6" w:rsidRDefault="006616B6" w:rsidP="00354010">
      <w:pPr>
        <w:pStyle w:val="ListParagraph"/>
        <w:numPr>
          <w:ilvl w:val="0"/>
          <w:numId w:val="24"/>
        </w:numPr>
        <w:spacing w:after="0" w:line="240" w:lineRule="auto"/>
      </w:pPr>
      <w:r>
        <w:t>What do neurons release via exocytosis?</w:t>
      </w:r>
    </w:p>
    <w:p w:rsidR="005A47F3" w:rsidRDefault="005A47F3" w:rsidP="00F46744">
      <w:pPr>
        <w:spacing w:after="0" w:line="240" w:lineRule="auto"/>
      </w:pPr>
    </w:p>
    <w:p w:rsidR="009061DA" w:rsidRPr="009061DA" w:rsidRDefault="00C7432E" w:rsidP="00F46744">
      <w:pPr>
        <w:spacing w:after="0" w:line="240" w:lineRule="auto"/>
        <w:rPr>
          <w:u w:val="single"/>
        </w:rPr>
      </w:pPr>
      <w:r>
        <w:rPr>
          <w:u w:val="single"/>
        </w:rPr>
        <w:t xml:space="preserve">(1) </w:t>
      </w:r>
      <w:r w:rsidR="009061DA" w:rsidRPr="009061DA">
        <w:rPr>
          <w:u w:val="single"/>
        </w:rPr>
        <w:t>Neurotransmitter release at synapses</w:t>
      </w:r>
    </w:p>
    <w:p w:rsidR="009061DA" w:rsidRDefault="009061DA" w:rsidP="00F46744">
      <w:pPr>
        <w:spacing w:after="0" w:line="240" w:lineRule="auto"/>
      </w:pPr>
    </w:p>
    <w:p w:rsidR="00A13412" w:rsidRDefault="00CC25ED" w:rsidP="00F46744">
      <w:pPr>
        <w:spacing w:after="0" w:line="240" w:lineRule="auto"/>
      </w:pPr>
      <w:r>
        <w:t>1</w:t>
      </w:r>
      <w:r w:rsidR="00820E5E">
        <w:t>.</w:t>
      </w:r>
      <w:r>
        <w:t>1.</w:t>
      </w:r>
      <w:r w:rsidR="00820E5E">
        <w:t xml:space="preserve"> </w:t>
      </w:r>
      <w:r w:rsidR="00A13412">
        <w:t xml:space="preserve">By looking at how motor neurons activate skeletal muscle cells, we have already seen how synapses work. Let’s solidify our understanding by making a </w:t>
      </w:r>
      <w:r w:rsidR="00A13412" w:rsidRPr="00820E5E">
        <w:t xml:space="preserve">simple </w:t>
      </w:r>
      <w:r w:rsidR="00A13412">
        <w:t xml:space="preserve">sketch of each step. </w:t>
      </w:r>
      <w:r w:rsidR="00820E5E">
        <w:t xml:space="preserve"> Try to capture the key points using as few lines/shapes as possible!</w:t>
      </w:r>
    </w:p>
    <w:p w:rsidR="00A13412" w:rsidRDefault="00A13412" w:rsidP="00F46744">
      <w:pPr>
        <w:spacing w:after="0" w:line="240" w:lineRule="auto"/>
      </w:pPr>
      <w:r>
        <w:t xml:space="preserve"> </w:t>
      </w:r>
    </w:p>
    <w:tbl>
      <w:tblPr>
        <w:tblStyle w:val="TableGrid"/>
        <w:tblW w:w="0" w:type="auto"/>
        <w:tblLook w:val="04A0" w:firstRow="1" w:lastRow="0" w:firstColumn="1" w:lastColumn="0" w:noHBand="0" w:noVBand="1"/>
      </w:tblPr>
      <w:tblGrid>
        <w:gridCol w:w="3116"/>
        <w:gridCol w:w="3117"/>
        <w:gridCol w:w="3117"/>
      </w:tblGrid>
      <w:tr w:rsidR="00A13412" w:rsidTr="00A13412">
        <w:tc>
          <w:tcPr>
            <w:tcW w:w="3116" w:type="dxa"/>
          </w:tcPr>
          <w:p w:rsidR="00A13412" w:rsidRDefault="00820E5E" w:rsidP="00F46744">
            <w:r>
              <w:t>A</w:t>
            </w:r>
            <w:r w:rsidR="00A13412">
              <w:t>.</w:t>
            </w:r>
            <w:r>
              <w:t xml:space="preserve"> Resting state. The axon terminus membrane potential is negative. Ca</w:t>
            </w:r>
            <w:r w:rsidRPr="00820E5E">
              <w:rPr>
                <w:vertAlign w:val="superscript"/>
              </w:rPr>
              <w:t>2+</w:t>
            </w:r>
            <w:r>
              <w:t xml:space="preserve"> is more concentrated outside the cell.</w:t>
            </w:r>
          </w:p>
          <w:p w:rsidR="00820E5E" w:rsidRDefault="00820E5E" w:rsidP="00F46744"/>
          <w:p w:rsidR="00820E5E" w:rsidRDefault="00820E5E" w:rsidP="00F46744"/>
          <w:p w:rsidR="00A13412" w:rsidRDefault="00A13412" w:rsidP="00F46744">
            <w:r>
              <w:rPr>
                <w:noProof/>
              </w:rPr>
              <w:drawing>
                <wp:inline distT="0" distB="0" distL="0" distR="0">
                  <wp:extent cx="1447800" cy="123583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5_19_axon_terminus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04" cy="1245573"/>
                          </a:xfrm>
                          <a:prstGeom prst="rect">
                            <a:avLst/>
                          </a:prstGeom>
                        </pic:spPr>
                      </pic:pic>
                    </a:graphicData>
                  </a:graphic>
                </wp:inline>
              </w:drawing>
            </w:r>
          </w:p>
        </w:tc>
        <w:tc>
          <w:tcPr>
            <w:tcW w:w="3117" w:type="dxa"/>
          </w:tcPr>
          <w:p w:rsidR="00A13412" w:rsidRDefault="00820E5E" w:rsidP="00F46744">
            <w:r>
              <w:t>B. Depolarization from the axon spreads to the axon terminus.</w:t>
            </w:r>
          </w:p>
          <w:p w:rsidR="00582AA5" w:rsidRDefault="00582AA5" w:rsidP="00F46744"/>
          <w:p w:rsidR="00582AA5" w:rsidRDefault="00582AA5" w:rsidP="00F46744"/>
          <w:p w:rsidR="00582AA5" w:rsidRDefault="00582AA5" w:rsidP="00F46744"/>
          <w:p w:rsidR="00820E5E" w:rsidRDefault="00820E5E" w:rsidP="00F46744"/>
          <w:p w:rsidR="00820E5E" w:rsidRDefault="00820E5E" w:rsidP="00F46744">
            <w:r>
              <w:rPr>
                <w:noProof/>
              </w:rPr>
              <w:drawing>
                <wp:inline distT="0" distB="0" distL="0" distR="0" wp14:anchorId="5DA6E7E7" wp14:editId="671B6F1E">
                  <wp:extent cx="1447800" cy="12358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5_19_axon_terminus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04" cy="1245573"/>
                          </a:xfrm>
                          <a:prstGeom prst="rect">
                            <a:avLst/>
                          </a:prstGeom>
                        </pic:spPr>
                      </pic:pic>
                    </a:graphicData>
                  </a:graphic>
                </wp:inline>
              </w:drawing>
            </w:r>
          </w:p>
        </w:tc>
        <w:tc>
          <w:tcPr>
            <w:tcW w:w="3117" w:type="dxa"/>
          </w:tcPr>
          <w:p w:rsidR="00A13412" w:rsidRDefault="00820E5E" w:rsidP="00F46744">
            <w:r>
              <w:t>C. Voltage-gated Ca</w:t>
            </w:r>
            <w:r w:rsidRPr="005A47F3">
              <w:rPr>
                <w:vertAlign w:val="superscript"/>
              </w:rPr>
              <w:t>2+</w:t>
            </w:r>
            <w:r>
              <w:t xml:space="preserve"> channels in the axon terminus </w:t>
            </w:r>
            <w:r w:rsidR="00EE7C07">
              <w:t xml:space="preserve">membrane </w:t>
            </w:r>
            <w:r>
              <w:t>sense the depolarization and open.</w:t>
            </w:r>
          </w:p>
          <w:p w:rsidR="00582AA5" w:rsidRDefault="00582AA5" w:rsidP="00F46744"/>
          <w:p w:rsidR="00820E5E" w:rsidRDefault="00820E5E" w:rsidP="00F46744"/>
          <w:p w:rsidR="00820E5E" w:rsidRDefault="00820E5E" w:rsidP="00F46744">
            <w:r>
              <w:rPr>
                <w:noProof/>
              </w:rPr>
              <w:drawing>
                <wp:inline distT="0" distB="0" distL="0" distR="0" wp14:anchorId="5DA6E7E7" wp14:editId="671B6F1E">
                  <wp:extent cx="1447800" cy="123583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5_19_axon_terminus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04" cy="1245573"/>
                          </a:xfrm>
                          <a:prstGeom prst="rect">
                            <a:avLst/>
                          </a:prstGeom>
                        </pic:spPr>
                      </pic:pic>
                    </a:graphicData>
                  </a:graphic>
                </wp:inline>
              </w:drawing>
            </w:r>
          </w:p>
        </w:tc>
      </w:tr>
    </w:tbl>
    <w:p w:rsidR="00EE7C07" w:rsidRDefault="00EE7C07" w:rsidP="00A13412">
      <w:pPr>
        <w:spacing w:after="0" w:line="240" w:lineRule="auto"/>
      </w:pPr>
    </w:p>
    <w:tbl>
      <w:tblPr>
        <w:tblStyle w:val="TableGrid"/>
        <w:tblW w:w="0" w:type="auto"/>
        <w:tblLook w:val="04A0" w:firstRow="1" w:lastRow="0" w:firstColumn="1" w:lastColumn="0" w:noHBand="0" w:noVBand="1"/>
      </w:tblPr>
      <w:tblGrid>
        <w:gridCol w:w="3117"/>
        <w:gridCol w:w="3117"/>
        <w:gridCol w:w="3116"/>
      </w:tblGrid>
      <w:tr w:rsidR="00820E5E" w:rsidTr="00820E5E">
        <w:tc>
          <w:tcPr>
            <w:tcW w:w="3117" w:type="dxa"/>
          </w:tcPr>
          <w:p w:rsidR="00820E5E" w:rsidRDefault="00820E5E" w:rsidP="000B2685">
            <w:r>
              <w:t xml:space="preserve">D. </w:t>
            </w:r>
            <w:r w:rsidR="00EE7C07">
              <w:t>A few of the Ca</w:t>
            </w:r>
            <w:r w:rsidR="00EE7C07" w:rsidRPr="005A47F3">
              <w:rPr>
                <w:vertAlign w:val="superscript"/>
              </w:rPr>
              <w:t>2+</w:t>
            </w:r>
            <w:r w:rsidR="00EE7C07">
              <w:t xml:space="preserve"> ions enter the axon terminus.</w:t>
            </w:r>
          </w:p>
          <w:p w:rsidR="00B62CF0" w:rsidRDefault="00B62CF0" w:rsidP="000B2685"/>
          <w:p w:rsidR="00582AA5" w:rsidRDefault="00582AA5" w:rsidP="000B2685"/>
          <w:p w:rsidR="00B62CF0" w:rsidRDefault="00B62CF0" w:rsidP="000B2685"/>
          <w:p w:rsidR="00820E5E" w:rsidRDefault="00820E5E" w:rsidP="000B2685">
            <w:r>
              <w:rPr>
                <w:noProof/>
              </w:rPr>
              <w:drawing>
                <wp:inline distT="0" distB="0" distL="0" distR="0" wp14:anchorId="2D0EFF3F" wp14:editId="3362E470">
                  <wp:extent cx="1447800" cy="123583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5_19_axon_terminus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04" cy="1245573"/>
                          </a:xfrm>
                          <a:prstGeom prst="rect">
                            <a:avLst/>
                          </a:prstGeom>
                        </pic:spPr>
                      </pic:pic>
                    </a:graphicData>
                  </a:graphic>
                </wp:inline>
              </w:drawing>
            </w:r>
          </w:p>
        </w:tc>
        <w:tc>
          <w:tcPr>
            <w:tcW w:w="3117" w:type="dxa"/>
          </w:tcPr>
          <w:p w:rsidR="00820E5E" w:rsidRDefault="00820E5E" w:rsidP="000B2685">
            <w:r>
              <w:t xml:space="preserve">E. </w:t>
            </w:r>
            <w:r w:rsidR="00EE7C07">
              <w:t>Ca</w:t>
            </w:r>
            <w:r w:rsidR="00EE7C07" w:rsidRPr="005A47F3">
              <w:rPr>
                <w:vertAlign w:val="superscript"/>
              </w:rPr>
              <w:t>2+</w:t>
            </w:r>
            <w:r w:rsidR="00EE7C07">
              <w:t xml:space="preserve"> binds to a protein on the membrane of synaptic vesicles, which hold neurotransmitter.</w:t>
            </w:r>
          </w:p>
          <w:p w:rsidR="00582AA5" w:rsidRDefault="00582AA5" w:rsidP="000B2685"/>
          <w:p w:rsidR="00B62CF0" w:rsidRDefault="00B62CF0" w:rsidP="000B2685"/>
          <w:p w:rsidR="00820E5E" w:rsidRDefault="00820E5E" w:rsidP="000B2685">
            <w:r>
              <w:rPr>
                <w:noProof/>
              </w:rPr>
              <w:drawing>
                <wp:inline distT="0" distB="0" distL="0" distR="0" wp14:anchorId="73E25A47" wp14:editId="4DAE3B78">
                  <wp:extent cx="1447800" cy="123583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5_19_axon_terminus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04" cy="1245573"/>
                          </a:xfrm>
                          <a:prstGeom prst="rect">
                            <a:avLst/>
                          </a:prstGeom>
                        </pic:spPr>
                      </pic:pic>
                    </a:graphicData>
                  </a:graphic>
                </wp:inline>
              </w:drawing>
            </w:r>
          </w:p>
        </w:tc>
        <w:tc>
          <w:tcPr>
            <w:tcW w:w="3116" w:type="dxa"/>
          </w:tcPr>
          <w:p w:rsidR="00820E5E" w:rsidRDefault="00EE7C07" w:rsidP="000B2685">
            <w:r>
              <w:t>F. The vesicles fuse with the cell membrane and dump the neurotransmitter into the synaptic cleft.</w:t>
            </w:r>
          </w:p>
          <w:p w:rsidR="00582AA5" w:rsidRDefault="00582AA5" w:rsidP="000B2685"/>
          <w:p w:rsidR="00EE7C07" w:rsidRDefault="00EE7C07" w:rsidP="000B2685">
            <w:r>
              <w:rPr>
                <w:noProof/>
              </w:rPr>
              <w:drawing>
                <wp:inline distT="0" distB="0" distL="0" distR="0" wp14:anchorId="4641656F" wp14:editId="55DD3F25">
                  <wp:extent cx="1447800" cy="123583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5_19_axon_terminus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04" cy="1245573"/>
                          </a:xfrm>
                          <a:prstGeom prst="rect">
                            <a:avLst/>
                          </a:prstGeom>
                        </pic:spPr>
                      </pic:pic>
                    </a:graphicData>
                  </a:graphic>
                </wp:inline>
              </w:drawing>
            </w:r>
          </w:p>
        </w:tc>
      </w:tr>
    </w:tbl>
    <w:p w:rsidR="009061DA" w:rsidRDefault="00CC25ED" w:rsidP="00F46744">
      <w:pPr>
        <w:spacing w:after="0" w:line="240" w:lineRule="auto"/>
      </w:pPr>
      <w:r>
        <w:lastRenderedPageBreak/>
        <w:t>1.2</w:t>
      </w:r>
      <w:r w:rsidR="00B62CF0">
        <w:t>. How is the above process similar to and different from calcium’s role in skeletal muscle contraction?</w:t>
      </w:r>
    </w:p>
    <w:p w:rsidR="00B62CF0" w:rsidRDefault="00B62CF0" w:rsidP="00F46744">
      <w:pPr>
        <w:spacing w:after="0" w:line="240" w:lineRule="auto"/>
      </w:pPr>
    </w:p>
    <w:p w:rsidR="00B62CF0" w:rsidRDefault="00B62CF0" w:rsidP="00F46744">
      <w:pPr>
        <w:spacing w:after="0" w:line="240" w:lineRule="auto"/>
      </w:pPr>
      <w:r>
        <w:t>SIMILAR:</w:t>
      </w:r>
    </w:p>
    <w:p w:rsidR="00B62CF0" w:rsidRDefault="00B62CF0" w:rsidP="00F46744">
      <w:pPr>
        <w:spacing w:after="0" w:line="240" w:lineRule="auto"/>
      </w:pPr>
    </w:p>
    <w:p w:rsidR="00B62CF0" w:rsidRDefault="00B62CF0" w:rsidP="00F46744">
      <w:pPr>
        <w:spacing w:after="0" w:line="240" w:lineRule="auto"/>
      </w:pPr>
      <w:r>
        <w:t>DIFFERENT:</w:t>
      </w:r>
    </w:p>
    <w:p w:rsidR="00B62CF0" w:rsidRDefault="00B62CF0" w:rsidP="00F46744">
      <w:pPr>
        <w:spacing w:after="0" w:line="240" w:lineRule="auto"/>
      </w:pPr>
    </w:p>
    <w:p w:rsidR="00B62CF0" w:rsidRDefault="00FE021A" w:rsidP="00F46744">
      <w:pPr>
        <w:spacing w:after="0" w:line="240" w:lineRule="auto"/>
      </w:pPr>
      <w:r>
        <w:t>1.3. How will step F above affect the post-synaptic neuron?</w:t>
      </w:r>
    </w:p>
    <w:p w:rsidR="00FE021A" w:rsidRDefault="00FE021A" w:rsidP="00F46744">
      <w:pPr>
        <w:spacing w:after="0" w:line="240" w:lineRule="auto"/>
      </w:pPr>
    </w:p>
    <w:p w:rsidR="00FE021A" w:rsidRDefault="00FE021A" w:rsidP="00F46744">
      <w:pPr>
        <w:spacing w:after="0" w:line="240" w:lineRule="auto"/>
      </w:pPr>
    </w:p>
    <w:p w:rsidR="009061DA" w:rsidRPr="009061DA" w:rsidRDefault="00C7432E" w:rsidP="00F46744">
      <w:pPr>
        <w:spacing w:after="0" w:line="240" w:lineRule="auto"/>
        <w:rPr>
          <w:u w:val="single"/>
        </w:rPr>
      </w:pPr>
      <w:r>
        <w:rPr>
          <w:u w:val="single"/>
        </w:rPr>
        <w:t xml:space="preserve">(2) </w:t>
      </w:r>
      <w:r w:rsidR="009061DA" w:rsidRPr="009061DA">
        <w:rPr>
          <w:u w:val="single"/>
        </w:rPr>
        <w:t>Post-synaptic potentials (PSPs)</w:t>
      </w:r>
    </w:p>
    <w:p w:rsidR="009061DA" w:rsidRDefault="009061DA" w:rsidP="00F46744">
      <w:pPr>
        <w:spacing w:after="0" w:line="240" w:lineRule="auto"/>
      </w:pPr>
    </w:p>
    <w:p w:rsidR="00A27BEC" w:rsidRDefault="00E53FAF" w:rsidP="00F46744">
      <w:pPr>
        <w:spacing w:after="0" w:line="240" w:lineRule="auto"/>
      </w:pPr>
      <w:r>
        <w:t xml:space="preserve">Neurotransmitters released by the pre-synaptic cell bind to receptors in the membrane of the post-synaptic cell. </w:t>
      </w:r>
      <w:r w:rsidR="00352691">
        <w:t>T</w:t>
      </w:r>
      <w:r w:rsidR="00F72F08">
        <w:t>hese receptors either</w:t>
      </w:r>
      <w:r w:rsidR="00352691">
        <w:t xml:space="preserve"> serve as ion channels – for example</w:t>
      </w:r>
      <w:r w:rsidR="00180C4E">
        <w:t>, acetylcholine receptors often serve as Na</w:t>
      </w:r>
      <w:r w:rsidR="00180C4E" w:rsidRPr="00180C4E">
        <w:rPr>
          <w:vertAlign w:val="superscript"/>
        </w:rPr>
        <w:t>+</w:t>
      </w:r>
      <w:r w:rsidR="00180C4E">
        <w:t xml:space="preserve"> channels, as we saw with skeletal muscle cells – or they </w:t>
      </w:r>
      <w:r w:rsidR="00F72F08">
        <w:t>generate intracellular signals (2</w:t>
      </w:r>
      <w:r w:rsidR="00F72F08" w:rsidRPr="00F72F08">
        <w:rPr>
          <w:vertAlign w:val="superscript"/>
        </w:rPr>
        <w:t>nd</w:t>
      </w:r>
      <w:r w:rsidR="00F72F08">
        <w:t xml:space="preserve"> messengers) that cause ion channels to open.</w:t>
      </w:r>
      <w:r w:rsidR="00A27BEC">
        <w:t xml:space="preserve">  </w:t>
      </w:r>
    </w:p>
    <w:p w:rsidR="00A27BEC" w:rsidRDefault="00A27BEC" w:rsidP="00F46744">
      <w:pPr>
        <w:spacing w:after="0" w:line="240" w:lineRule="auto"/>
      </w:pPr>
    </w:p>
    <w:p w:rsidR="00BF0697" w:rsidRDefault="00A27BEC" w:rsidP="00F46744">
      <w:pPr>
        <w:spacing w:after="0" w:line="240" w:lineRule="auto"/>
      </w:pPr>
      <w:r w:rsidRPr="00A27BEC">
        <w:rPr>
          <w:b/>
        </w:rPr>
        <w:t>Which</w:t>
      </w:r>
      <w:r w:rsidR="003568E3">
        <w:t xml:space="preserve"> </w:t>
      </w:r>
      <w:r w:rsidR="00F72F08">
        <w:t>ion channels open depends on which neurotransmitter is being used and sometimes which receptor</w:t>
      </w:r>
      <w:r w:rsidR="00875FD6">
        <w:t xml:space="preserve"> binds to it (</w:t>
      </w:r>
      <w:r w:rsidR="001E2AC3">
        <w:t>as discussed</w:t>
      </w:r>
      <w:r w:rsidR="003568E3">
        <w:t xml:space="preserve"> below</w:t>
      </w:r>
      <w:r w:rsidR="00875FD6">
        <w:t>)</w:t>
      </w:r>
      <w:r w:rsidR="003568E3">
        <w:t>.</w:t>
      </w:r>
      <w:r>
        <w:t xml:space="preserve"> Regardless, </w:t>
      </w:r>
      <w:r w:rsidR="00582AA5">
        <w:t xml:space="preserve">the inward or outward movement of ions </w:t>
      </w:r>
      <w:r w:rsidR="001178F7">
        <w:t xml:space="preserve">changes the membrane </w:t>
      </w:r>
      <w:r w:rsidR="00582AA5">
        <w:t>potential.  Since this change occurs in the post-synaptic cell, it is called a Post-Synaptic Potential, or PSP.</w:t>
      </w:r>
      <w:r w:rsidR="00875FD6">
        <w:t xml:space="preserve">  If the PSP brings the membrane potential closer to 0 mV, it is called an </w:t>
      </w:r>
      <w:r w:rsidR="00875FD6" w:rsidRPr="00875FD6">
        <w:rPr>
          <w:b/>
        </w:rPr>
        <w:t>Excitatory Post-Synaptic Potential (EPSP)</w:t>
      </w:r>
      <w:r w:rsidR="00875FD6">
        <w:t xml:space="preserve">; if it makes the membrane potential more negative, it is called an </w:t>
      </w:r>
      <w:r w:rsidR="00875FD6" w:rsidRPr="00875FD6">
        <w:rPr>
          <w:b/>
        </w:rPr>
        <w:t>Inhibitory Post-Synaptic Potential (IPSP)</w:t>
      </w:r>
      <w:r w:rsidR="00875FD6">
        <w:t>.</w:t>
      </w:r>
    </w:p>
    <w:p w:rsidR="00352691" w:rsidRDefault="00352691" w:rsidP="00F46744">
      <w:pPr>
        <w:spacing w:after="0" w:line="240" w:lineRule="auto"/>
      </w:pPr>
    </w:p>
    <w:p w:rsidR="003568E3" w:rsidRDefault="00CC25ED" w:rsidP="00F46744">
      <w:pPr>
        <w:spacing w:after="0" w:line="240" w:lineRule="auto"/>
      </w:pPr>
      <w:r>
        <w:t>2.1</w:t>
      </w:r>
      <w:r w:rsidR="00875FD6">
        <w:t>. Complete the following table.</w:t>
      </w:r>
    </w:p>
    <w:p w:rsidR="00875FD6" w:rsidRDefault="00875FD6" w:rsidP="00F46744">
      <w:pPr>
        <w:spacing w:after="0" w:line="240" w:lineRule="auto"/>
      </w:pPr>
    </w:p>
    <w:tbl>
      <w:tblPr>
        <w:tblStyle w:val="TableGrid"/>
        <w:tblW w:w="0" w:type="auto"/>
        <w:tblLook w:val="04A0" w:firstRow="1" w:lastRow="0" w:firstColumn="1" w:lastColumn="0" w:noHBand="0" w:noVBand="1"/>
      </w:tblPr>
      <w:tblGrid>
        <w:gridCol w:w="1345"/>
        <w:gridCol w:w="1890"/>
        <w:gridCol w:w="2070"/>
      </w:tblGrid>
      <w:tr w:rsidR="00CC3B54" w:rsidTr="001E2AC3">
        <w:tc>
          <w:tcPr>
            <w:tcW w:w="1345" w:type="dxa"/>
            <w:vAlign w:val="center"/>
          </w:tcPr>
          <w:p w:rsidR="00CC3B54" w:rsidRPr="001E2AC3" w:rsidRDefault="00CC3B54" w:rsidP="001E2AC3">
            <w:pPr>
              <w:rPr>
                <w:b/>
              </w:rPr>
            </w:pPr>
            <w:r w:rsidRPr="001E2AC3">
              <w:rPr>
                <w:b/>
              </w:rPr>
              <w:t>Ion channel</w:t>
            </w:r>
          </w:p>
        </w:tc>
        <w:tc>
          <w:tcPr>
            <w:tcW w:w="1890" w:type="dxa"/>
            <w:vAlign w:val="center"/>
          </w:tcPr>
          <w:p w:rsidR="00CC3B54" w:rsidRPr="001E2AC3" w:rsidRDefault="00CC3B54" w:rsidP="001E2AC3">
            <w:pPr>
              <w:rPr>
                <w:b/>
              </w:rPr>
            </w:pPr>
            <w:r w:rsidRPr="001E2AC3">
              <w:rPr>
                <w:b/>
              </w:rPr>
              <w:t xml:space="preserve">Ion </w:t>
            </w:r>
            <w:proofErr w:type="gramStart"/>
            <w:r w:rsidRPr="001E2AC3">
              <w:rPr>
                <w:b/>
              </w:rPr>
              <w:t>movement</w:t>
            </w:r>
            <w:r w:rsidR="001E2AC3">
              <w:rPr>
                <w:b/>
              </w:rPr>
              <w:t xml:space="preserve">,   </w:t>
            </w:r>
            <w:proofErr w:type="gramEnd"/>
            <w:r w:rsidR="001E2AC3">
              <w:rPr>
                <w:b/>
              </w:rPr>
              <w:t xml:space="preserve"> if channel is open</w:t>
            </w:r>
          </w:p>
        </w:tc>
        <w:tc>
          <w:tcPr>
            <w:tcW w:w="2070" w:type="dxa"/>
            <w:vAlign w:val="center"/>
          </w:tcPr>
          <w:p w:rsidR="00CC3B54" w:rsidRPr="001E2AC3" w:rsidRDefault="00CC3B54" w:rsidP="001E2AC3">
            <w:pPr>
              <w:rPr>
                <w:b/>
              </w:rPr>
            </w:pPr>
            <w:r w:rsidRPr="001E2AC3">
              <w:rPr>
                <w:b/>
              </w:rPr>
              <w:t>EPSP or IPSP?</w:t>
            </w:r>
          </w:p>
        </w:tc>
      </w:tr>
      <w:tr w:rsidR="00CC3B54" w:rsidTr="001E2AC3">
        <w:tc>
          <w:tcPr>
            <w:tcW w:w="1345" w:type="dxa"/>
            <w:vAlign w:val="center"/>
          </w:tcPr>
          <w:p w:rsidR="00CC3B54" w:rsidRDefault="00CC3B54" w:rsidP="001E2AC3">
            <w:pPr>
              <w:spacing w:line="360" w:lineRule="auto"/>
            </w:pPr>
            <w:r>
              <w:t>Na</w:t>
            </w:r>
            <w:r w:rsidRPr="00CC3B54">
              <w:rPr>
                <w:vertAlign w:val="superscript"/>
              </w:rPr>
              <w:t>+</w:t>
            </w:r>
          </w:p>
        </w:tc>
        <w:tc>
          <w:tcPr>
            <w:tcW w:w="1890" w:type="dxa"/>
            <w:vAlign w:val="center"/>
          </w:tcPr>
          <w:p w:rsidR="00CC3B54" w:rsidRDefault="00CC3B54" w:rsidP="001E2AC3">
            <w:pPr>
              <w:spacing w:line="360" w:lineRule="auto"/>
            </w:pPr>
            <w:r>
              <w:t>Na</w:t>
            </w:r>
            <w:r w:rsidRPr="00CC3B54">
              <w:rPr>
                <w:vertAlign w:val="superscript"/>
              </w:rPr>
              <w:t>+</w:t>
            </w:r>
            <w:r>
              <w:t xml:space="preserve"> enters cell</w:t>
            </w:r>
          </w:p>
        </w:tc>
        <w:tc>
          <w:tcPr>
            <w:tcW w:w="2070" w:type="dxa"/>
            <w:vAlign w:val="center"/>
          </w:tcPr>
          <w:p w:rsidR="00CC3B54" w:rsidRDefault="00CC3B54" w:rsidP="001E2AC3">
            <w:pPr>
              <w:spacing w:line="360" w:lineRule="auto"/>
            </w:pPr>
          </w:p>
        </w:tc>
      </w:tr>
      <w:tr w:rsidR="00CC3B54" w:rsidTr="001E2AC3">
        <w:tc>
          <w:tcPr>
            <w:tcW w:w="1345" w:type="dxa"/>
            <w:vAlign w:val="center"/>
          </w:tcPr>
          <w:p w:rsidR="00CC3B54" w:rsidRDefault="00CC3B54" w:rsidP="001E2AC3">
            <w:pPr>
              <w:spacing w:line="360" w:lineRule="auto"/>
            </w:pPr>
            <w:r>
              <w:t>K</w:t>
            </w:r>
            <w:r w:rsidRPr="00CC3B54">
              <w:rPr>
                <w:vertAlign w:val="superscript"/>
              </w:rPr>
              <w:t>+</w:t>
            </w:r>
          </w:p>
        </w:tc>
        <w:tc>
          <w:tcPr>
            <w:tcW w:w="1890" w:type="dxa"/>
            <w:vAlign w:val="center"/>
          </w:tcPr>
          <w:p w:rsidR="00CC3B54" w:rsidRDefault="00CC3B54" w:rsidP="001E2AC3">
            <w:pPr>
              <w:spacing w:line="360" w:lineRule="auto"/>
            </w:pPr>
            <w:r>
              <w:t>K</w:t>
            </w:r>
            <w:r w:rsidRPr="00CC3B54">
              <w:rPr>
                <w:vertAlign w:val="superscript"/>
              </w:rPr>
              <w:t>+</w:t>
            </w:r>
            <w:r>
              <w:t xml:space="preserve"> exits cell</w:t>
            </w:r>
          </w:p>
        </w:tc>
        <w:tc>
          <w:tcPr>
            <w:tcW w:w="2070" w:type="dxa"/>
            <w:vAlign w:val="center"/>
          </w:tcPr>
          <w:p w:rsidR="00CC3B54" w:rsidRDefault="00CC3B54" w:rsidP="001E2AC3">
            <w:pPr>
              <w:spacing w:line="360" w:lineRule="auto"/>
            </w:pPr>
          </w:p>
        </w:tc>
      </w:tr>
      <w:tr w:rsidR="00CC3B54" w:rsidTr="001E2AC3">
        <w:tc>
          <w:tcPr>
            <w:tcW w:w="1345" w:type="dxa"/>
            <w:vAlign w:val="center"/>
          </w:tcPr>
          <w:p w:rsidR="00CC3B54" w:rsidRDefault="00CC3B54" w:rsidP="001E2AC3">
            <w:pPr>
              <w:spacing w:line="360" w:lineRule="auto"/>
            </w:pPr>
            <w:r>
              <w:t>Cl</w:t>
            </w:r>
            <w:r w:rsidRPr="00CC3B54">
              <w:rPr>
                <w:vertAlign w:val="superscript"/>
              </w:rPr>
              <w:t>-</w:t>
            </w:r>
          </w:p>
        </w:tc>
        <w:tc>
          <w:tcPr>
            <w:tcW w:w="1890" w:type="dxa"/>
            <w:vAlign w:val="center"/>
          </w:tcPr>
          <w:p w:rsidR="00CC3B54" w:rsidRDefault="00CC3B54" w:rsidP="001E2AC3">
            <w:pPr>
              <w:spacing w:line="360" w:lineRule="auto"/>
            </w:pPr>
            <w:r>
              <w:t>Cl</w:t>
            </w:r>
            <w:r w:rsidRPr="000D1B36">
              <w:rPr>
                <w:vertAlign w:val="superscript"/>
              </w:rPr>
              <w:t>-</w:t>
            </w:r>
            <w:r>
              <w:t xml:space="preserve"> enters cell</w:t>
            </w:r>
          </w:p>
        </w:tc>
        <w:tc>
          <w:tcPr>
            <w:tcW w:w="2070" w:type="dxa"/>
            <w:vAlign w:val="center"/>
          </w:tcPr>
          <w:p w:rsidR="00CC3B54" w:rsidRDefault="00CC3B54" w:rsidP="001E2AC3">
            <w:pPr>
              <w:spacing w:line="360" w:lineRule="auto"/>
            </w:pPr>
          </w:p>
        </w:tc>
      </w:tr>
    </w:tbl>
    <w:p w:rsidR="00875FD6" w:rsidRDefault="00875FD6" w:rsidP="00F46744">
      <w:pPr>
        <w:spacing w:after="0" w:line="240" w:lineRule="auto"/>
      </w:pPr>
    </w:p>
    <w:p w:rsidR="003568E3" w:rsidRDefault="00CC25ED" w:rsidP="00F46744">
      <w:pPr>
        <w:spacing w:after="0" w:line="240" w:lineRule="auto"/>
      </w:pPr>
      <w:r>
        <w:t>2.2</w:t>
      </w:r>
      <w:r w:rsidR="004F7DBD">
        <w:t>. Regarding the “Ion movement” column of</w:t>
      </w:r>
      <w:r w:rsidR="001E2AC3">
        <w:t xml:space="preserve"> this table</w:t>
      </w:r>
      <w:r w:rsidR="004F7DBD">
        <w:t>, what determines whether a given ion moves into the cell or out of the cell?</w:t>
      </w:r>
    </w:p>
    <w:p w:rsidR="00BF0697" w:rsidRDefault="00BF0697" w:rsidP="00F46744">
      <w:pPr>
        <w:spacing w:after="0" w:line="240" w:lineRule="auto"/>
      </w:pPr>
    </w:p>
    <w:p w:rsidR="00F72346" w:rsidRDefault="00CC25ED" w:rsidP="00F46744">
      <w:pPr>
        <w:spacing w:after="0" w:line="240" w:lineRule="auto"/>
      </w:pPr>
      <w:r>
        <w:t>2.3</w:t>
      </w:r>
      <w:r w:rsidR="004F7DBD">
        <w:t>. Below is a table of some common neurotransmitters and the ion channels they open (directly or indirectly).  Based on the table above, determine whether the release of these neurotransmitters leads to EPSPs or IPSPs in the post-synaptic cell.</w:t>
      </w:r>
    </w:p>
    <w:p w:rsidR="004F7DBD" w:rsidRDefault="004F7DBD" w:rsidP="00F46744">
      <w:pPr>
        <w:spacing w:after="0" w:line="240" w:lineRule="auto"/>
      </w:pPr>
    </w:p>
    <w:tbl>
      <w:tblPr>
        <w:tblStyle w:val="TableGrid"/>
        <w:tblW w:w="0" w:type="auto"/>
        <w:tblLook w:val="04A0" w:firstRow="1" w:lastRow="0" w:firstColumn="1" w:lastColumn="0" w:noHBand="0" w:noVBand="1"/>
      </w:tblPr>
      <w:tblGrid>
        <w:gridCol w:w="3415"/>
        <w:gridCol w:w="2520"/>
        <w:gridCol w:w="1530"/>
      </w:tblGrid>
      <w:tr w:rsidR="00DD65D3" w:rsidTr="001F5DDA">
        <w:tc>
          <w:tcPr>
            <w:tcW w:w="3415" w:type="dxa"/>
            <w:vAlign w:val="center"/>
          </w:tcPr>
          <w:p w:rsidR="00DD65D3" w:rsidRPr="00DD65D3" w:rsidRDefault="00DD65D3" w:rsidP="00DD65D3">
            <w:pPr>
              <w:rPr>
                <w:b/>
              </w:rPr>
            </w:pPr>
            <w:r w:rsidRPr="00DD65D3">
              <w:rPr>
                <w:b/>
              </w:rPr>
              <w:t>Neurotransmitter</w:t>
            </w:r>
          </w:p>
        </w:tc>
        <w:tc>
          <w:tcPr>
            <w:tcW w:w="2520" w:type="dxa"/>
            <w:vAlign w:val="center"/>
          </w:tcPr>
          <w:p w:rsidR="00DD65D3" w:rsidRPr="00DD65D3" w:rsidRDefault="00DD65D3" w:rsidP="00DD65D3">
            <w:pPr>
              <w:rPr>
                <w:b/>
              </w:rPr>
            </w:pPr>
            <w:r w:rsidRPr="00DD65D3">
              <w:rPr>
                <w:b/>
              </w:rPr>
              <w:t>Ion channel</w:t>
            </w:r>
            <w:r w:rsidR="00C7691E">
              <w:rPr>
                <w:b/>
              </w:rPr>
              <w:t>(</w:t>
            </w:r>
            <w:r w:rsidRPr="00DD65D3">
              <w:rPr>
                <w:b/>
              </w:rPr>
              <w:t>s</w:t>
            </w:r>
            <w:r w:rsidR="00C7691E">
              <w:rPr>
                <w:b/>
              </w:rPr>
              <w:t>)</w:t>
            </w:r>
            <w:r w:rsidRPr="00DD65D3">
              <w:rPr>
                <w:b/>
              </w:rPr>
              <w:t xml:space="preserve"> opened by this neurotransmitter</w:t>
            </w:r>
          </w:p>
        </w:tc>
        <w:tc>
          <w:tcPr>
            <w:tcW w:w="1530" w:type="dxa"/>
            <w:vAlign w:val="center"/>
          </w:tcPr>
          <w:p w:rsidR="00DD65D3" w:rsidRPr="00DD65D3" w:rsidRDefault="00DD65D3" w:rsidP="00DD65D3">
            <w:pPr>
              <w:rPr>
                <w:b/>
              </w:rPr>
            </w:pPr>
            <w:r w:rsidRPr="00DD65D3">
              <w:rPr>
                <w:b/>
              </w:rPr>
              <w:t>EPSP or IPSP?</w:t>
            </w:r>
          </w:p>
        </w:tc>
      </w:tr>
      <w:tr w:rsidR="00DD65D3" w:rsidTr="001F5DDA">
        <w:tc>
          <w:tcPr>
            <w:tcW w:w="3415" w:type="dxa"/>
          </w:tcPr>
          <w:p w:rsidR="00DD65D3" w:rsidRDefault="00FF02E4" w:rsidP="00C7691E">
            <w:pPr>
              <w:spacing w:line="360" w:lineRule="auto"/>
            </w:pPr>
            <w:r>
              <w:t>Acetylcholine</w:t>
            </w:r>
          </w:p>
        </w:tc>
        <w:tc>
          <w:tcPr>
            <w:tcW w:w="2520" w:type="dxa"/>
          </w:tcPr>
          <w:p w:rsidR="00DD65D3" w:rsidRDefault="00974CD7" w:rsidP="00C7691E">
            <w:pPr>
              <w:spacing w:line="360" w:lineRule="auto"/>
            </w:pPr>
            <w:r>
              <w:t>Na</w:t>
            </w:r>
            <w:r w:rsidRPr="00974CD7">
              <w:rPr>
                <w:vertAlign w:val="superscript"/>
              </w:rPr>
              <w:t>+</w:t>
            </w:r>
          </w:p>
        </w:tc>
        <w:tc>
          <w:tcPr>
            <w:tcW w:w="1530" w:type="dxa"/>
          </w:tcPr>
          <w:p w:rsidR="00DD65D3" w:rsidRDefault="00DD65D3" w:rsidP="00C7691E">
            <w:pPr>
              <w:spacing w:line="360" w:lineRule="auto"/>
            </w:pPr>
          </w:p>
        </w:tc>
      </w:tr>
      <w:tr w:rsidR="00DD65D3" w:rsidTr="001F5DDA">
        <w:tc>
          <w:tcPr>
            <w:tcW w:w="3415" w:type="dxa"/>
          </w:tcPr>
          <w:p w:rsidR="00DD65D3" w:rsidRDefault="00A63D75" w:rsidP="00C7691E">
            <w:pPr>
              <w:spacing w:line="360" w:lineRule="auto"/>
            </w:pPr>
            <w:r>
              <w:t>Glutamate</w:t>
            </w:r>
          </w:p>
        </w:tc>
        <w:tc>
          <w:tcPr>
            <w:tcW w:w="2520" w:type="dxa"/>
          </w:tcPr>
          <w:p w:rsidR="00DD65D3" w:rsidRDefault="00974CD7" w:rsidP="00C7691E">
            <w:pPr>
              <w:spacing w:line="360" w:lineRule="auto"/>
            </w:pPr>
            <w:r>
              <w:t>Na</w:t>
            </w:r>
            <w:r w:rsidRPr="00974CD7">
              <w:rPr>
                <w:vertAlign w:val="superscript"/>
              </w:rPr>
              <w:t>+</w:t>
            </w:r>
          </w:p>
        </w:tc>
        <w:tc>
          <w:tcPr>
            <w:tcW w:w="1530" w:type="dxa"/>
          </w:tcPr>
          <w:p w:rsidR="00DD65D3" w:rsidRDefault="00DD65D3" w:rsidP="00C7691E">
            <w:pPr>
              <w:spacing w:line="360" w:lineRule="auto"/>
            </w:pPr>
          </w:p>
        </w:tc>
      </w:tr>
      <w:tr w:rsidR="00DD65D3" w:rsidTr="001F5DDA">
        <w:trPr>
          <w:trHeight w:val="50"/>
        </w:trPr>
        <w:tc>
          <w:tcPr>
            <w:tcW w:w="3415" w:type="dxa"/>
          </w:tcPr>
          <w:p w:rsidR="00DD65D3" w:rsidRDefault="00A63D75" w:rsidP="00C7691E">
            <w:pPr>
              <w:spacing w:line="360" w:lineRule="auto"/>
            </w:pPr>
            <w:r>
              <w:t>Gamma-aminobutyric acid (GABA)</w:t>
            </w:r>
          </w:p>
        </w:tc>
        <w:tc>
          <w:tcPr>
            <w:tcW w:w="2520" w:type="dxa"/>
          </w:tcPr>
          <w:p w:rsidR="00DD65D3" w:rsidRPr="00974CD7" w:rsidRDefault="00974CD7" w:rsidP="00C7691E">
            <w:pPr>
              <w:spacing w:line="360" w:lineRule="auto"/>
            </w:pPr>
            <w:r>
              <w:t>K</w:t>
            </w:r>
            <w:r w:rsidRPr="00974CD7">
              <w:rPr>
                <w:vertAlign w:val="superscript"/>
              </w:rPr>
              <w:t>+</w:t>
            </w:r>
            <w:r>
              <w:t xml:space="preserve"> </w:t>
            </w:r>
            <w:r w:rsidR="001F5DDA">
              <w:t xml:space="preserve">or </w:t>
            </w:r>
            <w:r>
              <w:t>Cl</w:t>
            </w:r>
            <w:r w:rsidRPr="001F5DDA">
              <w:rPr>
                <w:vertAlign w:val="superscript"/>
              </w:rPr>
              <w:t>-</w:t>
            </w:r>
          </w:p>
        </w:tc>
        <w:tc>
          <w:tcPr>
            <w:tcW w:w="1530" w:type="dxa"/>
          </w:tcPr>
          <w:p w:rsidR="00DD65D3" w:rsidRDefault="00DD65D3" w:rsidP="00C7691E">
            <w:pPr>
              <w:spacing w:line="360" w:lineRule="auto"/>
            </w:pPr>
          </w:p>
        </w:tc>
      </w:tr>
      <w:tr w:rsidR="00DD65D3" w:rsidTr="001F5DDA">
        <w:tc>
          <w:tcPr>
            <w:tcW w:w="3415" w:type="dxa"/>
          </w:tcPr>
          <w:p w:rsidR="00DD65D3" w:rsidRDefault="00A63D75" w:rsidP="00C7691E">
            <w:pPr>
              <w:spacing w:line="360" w:lineRule="auto"/>
            </w:pPr>
            <w:r>
              <w:t>Glycine</w:t>
            </w:r>
          </w:p>
        </w:tc>
        <w:tc>
          <w:tcPr>
            <w:tcW w:w="2520" w:type="dxa"/>
          </w:tcPr>
          <w:p w:rsidR="00DD65D3" w:rsidRDefault="00974CD7" w:rsidP="00C7691E">
            <w:pPr>
              <w:spacing w:line="360" w:lineRule="auto"/>
            </w:pPr>
            <w:r>
              <w:t>Cl</w:t>
            </w:r>
            <w:r w:rsidRPr="001F5DDA">
              <w:rPr>
                <w:vertAlign w:val="superscript"/>
              </w:rPr>
              <w:t>-</w:t>
            </w:r>
          </w:p>
        </w:tc>
        <w:tc>
          <w:tcPr>
            <w:tcW w:w="1530" w:type="dxa"/>
          </w:tcPr>
          <w:p w:rsidR="00DD65D3" w:rsidRDefault="00DD65D3" w:rsidP="00C7691E">
            <w:pPr>
              <w:spacing w:line="360" w:lineRule="auto"/>
            </w:pPr>
          </w:p>
        </w:tc>
      </w:tr>
    </w:tbl>
    <w:p w:rsidR="009061DA" w:rsidRPr="009061DA" w:rsidRDefault="00C7432E" w:rsidP="00F46744">
      <w:pPr>
        <w:spacing w:after="0" w:line="240" w:lineRule="auto"/>
        <w:rPr>
          <w:u w:val="single"/>
        </w:rPr>
      </w:pPr>
      <w:r>
        <w:rPr>
          <w:u w:val="single"/>
        </w:rPr>
        <w:lastRenderedPageBreak/>
        <w:t xml:space="preserve">(3) </w:t>
      </w:r>
      <w:r w:rsidR="009061DA" w:rsidRPr="009061DA">
        <w:rPr>
          <w:u w:val="single"/>
        </w:rPr>
        <w:t>Passive spread of PSPs</w:t>
      </w:r>
    </w:p>
    <w:p w:rsidR="009061DA" w:rsidRDefault="009061DA" w:rsidP="00F46744">
      <w:pPr>
        <w:spacing w:after="0" w:line="240" w:lineRule="auto"/>
      </w:pPr>
    </w:p>
    <w:p w:rsidR="00E173CD" w:rsidRDefault="00E173CD" w:rsidP="00F46744">
      <w:pPr>
        <w:spacing w:after="0" w:line="240" w:lineRule="auto"/>
      </w:pPr>
      <w:r>
        <w:t>After ions enter or exit the cell, they continue to diffuse, so change</w:t>
      </w:r>
      <w:r w:rsidR="00F33A30">
        <w:t>s</w:t>
      </w:r>
      <w:r>
        <w:t xml:space="preserve"> in membrane potential (EPSP</w:t>
      </w:r>
      <w:r w:rsidR="00F33A30">
        <w:t>s</w:t>
      </w:r>
      <w:r>
        <w:t xml:space="preserve"> or IPSP</w:t>
      </w:r>
      <w:r w:rsidR="00F33A30">
        <w:t>s</w:t>
      </w:r>
      <w:r>
        <w:t>) spr</w:t>
      </w:r>
      <w:r w:rsidR="00F33A30">
        <w:t>ead to the rest of the cell.  However, a</w:t>
      </w:r>
      <w:r>
        <w:t xml:space="preserve">s shown in Figure 4.4 by </w:t>
      </w:r>
      <w:r w:rsidR="00F33A30">
        <w:t>Sherwood et al. (2013), these changes decay over distance</w:t>
      </w:r>
      <w:r w:rsidR="00C55412">
        <w:t>; that is, more distant areas</w:t>
      </w:r>
      <w:r w:rsidR="00F33A30">
        <w:t xml:space="preserve"> of the membrane aren’t changed as much</w:t>
      </w:r>
      <w:r w:rsidR="00C55412">
        <w:t xml:space="preserve"> as the part where the ion channels opened.</w:t>
      </w:r>
    </w:p>
    <w:p w:rsidR="00F33A30" w:rsidRDefault="00F33A30"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52"/>
      </w:tblGrid>
      <w:tr w:rsidR="003F5684" w:rsidTr="00DE5116">
        <w:tc>
          <w:tcPr>
            <w:tcW w:w="4770" w:type="dxa"/>
          </w:tcPr>
          <w:p w:rsidR="003F5684" w:rsidRDefault="00CC25ED" w:rsidP="003F5684">
            <w:r>
              <w:t>3.1</w:t>
            </w:r>
            <w:r w:rsidR="003F5684">
              <w:t>. Consider a neuron with a resting membrane potential of -70 mV.  A portion of this neuron is shown at right along with 2 of its dendrites, each of which forms a synapse with another neuron.</w:t>
            </w:r>
          </w:p>
          <w:p w:rsidR="00DE5116" w:rsidRDefault="00DE5116" w:rsidP="003F5684"/>
          <w:p w:rsidR="00DE5116" w:rsidRDefault="00DE5116" w:rsidP="003F5684">
            <w:r>
              <w:t>A. Let’s say that neuron 1 releases glutamate as a neurotransmitter, while neuron 2 releases glycine.  Add the release of these compounds to the picture, using different icons (say, diamonds and circles) to show that the two neurotransmitters are different.</w:t>
            </w:r>
          </w:p>
          <w:p w:rsidR="003F5684" w:rsidRDefault="003F5684" w:rsidP="00F46744"/>
          <w:p w:rsidR="00DE5116" w:rsidRDefault="00DE5116" w:rsidP="00F46744">
            <w:r>
              <w:t>B. Draw specific ions entering or exiting the dendrites at locations A and B.  Consult the tables above to find out which specific ions are involved.</w:t>
            </w:r>
          </w:p>
        </w:tc>
        <w:tc>
          <w:tcPr>
            <w:tcW w:w="4675" w:type="dxa"/>
          </w:tcPr>
          <w:p w:rsidR="003F5684" w:rsidRDefault="003F5684" w:rsidP="00F46744">
            <w:r>
              <w:rPr>
                <w:noProof/>
              </w:rPr>
              <w:drawing>
                <wp:inline distT="0" distB="0" distL="0" distR="0">
                  <wp:extent cx="2880909" cy="289045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_05_19_passive_decay_1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5896" cy="2895455"/>
                          </a:xfrm>
                          <a:prstGeom prst="rect">
                            <a:avLst/>
                          </a:prstGeom>
                        </pic:spPr>
                      </pic:pic>
                    </a:graphicData>
                  </a:graphic>
                </wp:inline>
              </w:drawing>
            </w:r>
          </w:p>
        </w:tc>
      </w:tr>
    </w:tbl>
    <w:p w:rsidR="003F5684" w:rsidRPr="00C06370" w:rsidRDefault="00DE5116" w:rsidP="00F46744">
      <w:pPr>
        <w:spacing w:after="0" w:line="240" w:lineRule="auto"/>
        <w:rPr>
          <w:b/>
        </w:rPr>
      </w:pPr>
      <w:r>
        <w:t>C.</w:t>
      </w:r>
      <w:r w:rsidR="00C06370">
        <w:t xml:space="preserve"> Let’s say that the membrane potential at location A changes from -70 mV to -60 mV as a result of the release of neurotransmitter, opening of ion channels, and flow of ions.  Meanwhile, the membrane potential at location B changes from -70 mV to -80 mV due to the same factors.  </w:t>
      </w:r>
      <w:r w:rsidR="00C06370" w:rsidRPr="00C06370">
        <w:rPr>
          <w:b/>
        </w:rPr>
        <w:t>Carefully describe how the membrane potential at location C will be affected.</w:t>
      </w:r>
    </w:p>
    <w:p w:rsidR="003F5684" w:rsidRDefault="003F5684"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6006"/>
      </w:tblGrid>
      <w:tr w:rsidR="00C06370" w:rsidTr="008D0663">
        <w:tc>
          <w:tcPr>
            <w:tcW w:w="4770" w:type="dxa"/>
          </w:tcPr>
          <w:p w:rsidR="00C06370" w:rsidRDefault="00CC25ED" w:rsidP="00C06370">
            <w:r>
              <w:t>3.</w:t>
            </w:r>
            <w:r w:rsidR="00C06370">
              <w:t xml:space="preserve">2. Now consider an alternative scenario (at right).  Here neurons 1 and 3 both release glutamate, while neuron 2 releases glycine. </w:t>
            </w:r>
          </w:p>
          <w:p w:rsidR="00C06370" w:rsidRDefault="00C06370" w:rsidP="00F46744"/>
          <w:p w:rsidR="00C06370" w:rsidRDefault="00C06370" w:rsidP="00F46744">
            <w:r>
              <w:t>A. Add neurotransmitter symbols and ion flows to the picture, as before.</w:t>
            </w:r>
          </w:p>
          <w:p w:rsidR="00C06370" w:rsidRDefault="00C06370" w:rsidP="00F46744"/>
          <w:p w:rsidR="00C06370" w:rsidRDefault="00C06370" w:rsidP="00F46744">
            <w:r>
              <w:t>B.</w:t>
            </w:r>
            <w:r w:rsidR="008D0663">
              <w:t xml:space="preserve"> If neurons 1, 2, and 3 all release similar amounts of their neurotransmitters simultaneously, how will the membrane potential of the soma of neuron 4 be affected?</w:t>
            </w:r>
          </w:p>
        </w:tc>
        <w:tc>
          <w:tcPr>
            <w:tcW w:w="4675" w:type="dxa"/>
          </w:tcPr>
          <w:p w:rsidR="00C06370" w:rsidRDefault="00C06370" w:rsidP="00F46744">
            <w:r>
              <w:rPr>
                <w:noProof/>
              </w:rPr>
              <w:drawing>
                <wp:inline distT="0" distB="0" distL="0" distR="0">
                  <wp:extent cx="3673612" cy="213469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6_05_19_passive_decay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9010" cy="2137835"/>
                          </a:xfrm>
                          <a:prstGeom prst="rect">
                            <a:avLst/>
                          </a:prstGeom>
                        </pic:spPr>
                      </pic:pic>
                    </a:graphicData>
                  </a:graphic>
                </wp:inline>
              </w:drawing>
            </w:r>
          </w:p>
        </w:tc>
      </w:tr>
    </w:tbl>
    <w:p w:rsidR="00C06370" w:rsidRDefault="00C06370" w:rsidP="00F46744">
      <w:pPr>
        <w:spacing w:after="0" w:line="240" w:lineRule="auto"/>
      </w:pPr>
    </w:p>
    <w:p w:rsidR="003F5684" w:rsidRDefault="003F5684" w:rsidP="00F46744">
      <w:pPr>
        <w:spacing w:after="0" w:line="240" w:lineRule="auto"/>
      </w:pPr>
    </w:p>
    <w:p w:rsidR="00F72346" w:rsidRDefault="00F72346" w:rsidP="00F46744">
      <w:pPr>
        <w:spacing w:after="0" w:line="240" w:lineRule="auto"/>
      </w:pPr>
    </w:p>
    <w:p w:rsidR="008D0663" w:rsidRDefault="008D0663" w:rsidP="00F46744">
      <w:pPr>
        <w:spacing w:after="0" w:line="240" w:lineRule="auto"/>
      </w:pPr>
    </w:p>
    <w:p w:rsidR="008D0663" w:rsidRDefault="008D0663" w:rsidP="00F46744">
      <w:pPr>
        <w:spacing w:after="0" w:line="240" w:lineRule="auto"/>
      </w:pPr>
    </w:p>
    <w:p w:rsidR="009061DA" w:rsidRPr="009061DA" w:rsidRDefault="00C7432E" w:rsidP="00F46744">
      <w:pPr>
        <w:spacing w:after="0" w:line="240" w:lineRule="auto"/>
        <w:rPr>
          <w:u w:val="single"/>
        </w:rPr>
      </w:pPr>
      <w:r>
        <w:rPr>
          <w:u w:val="single"/>
        </w:rPr>
        <w:lastRenderedPageBreak/>
        <w:t xml:space="preserve">(4) </w:t>
      </w:r>
      <w:r w:rsidR="009061DA" w:rsidRPr="009061DA">
        <w:rPr>
          <w:u w:val="single"/>
        </w:rPr>
        <w:t>Summation of PSPs at the axon hillock</w:t>
      </w:r>
    </w:p>
    <w:p w:rsidR="009061DA" w:rsidRDefault="009061DA" w:rsidP="00F46744">
      <w:pPr>
        <w:spacing w:after="0" w:line="240" w:lineRule="auto"/>
      </w:pPr>
    </w:p>
    <w:p w:rsidR="008D0663" w:rsidRDefault="007534CD" w:rsidP="00F46744">
      <w:pPr>
        <w:spacing w:after="0" w:line="240" w:lineRule="auto"/>
      </w:pPr>
      <w:r>
        <w:t>The axon hillock is the “start” of the axon where the axon meets the soma. Unlike the dendrites and soma</w:t>
      </w:r>
      <w:r w:rsidR="00FE021A">
        <w:t xml:space="preserve"> – but like the rest of the axon – </w:t>
      </w:r>
      <w:r>
        <w:t xml:space="preserve">it has a high density of </w:t>
      </w:r>
      <w:r w:rsidRPr="007534CD">
        <w:rPr>
          <w:b/>
        </w:rPr>
        <w:t>voltage-gated</w:t>
      </w:r>
      <w:r>
        <w:t xml:space="preserve"> ion channels.</w:t>
      </w:r>
      <w:r w:rsidR="0003390B">
        <w:t xml:space="preserve">  These ion channels open NOT in response to the binding of a certain ligand, but because the membrane potential has reached a certain critical value, called the </w:t>
      </w:r>
      <w:r w:rsidR="0003390B" w:rsidRPr="0003390B">
        <w:rPr>
          <w:b/>
        </w:rPr>
        <w:t>threshold</w:t>
      </w:r>
      <w:r w:rsidR="0003390B">
        <w:t xml:space="preserve">.  For our purposes, we can consider the threshold to be -55 mV, i.e., about 15 mV more depolarized than the resting membrane potential of -70 mV.  </w:t>
      </w:r>
    </w:p>
    <w:p w:rsidR="0003390B" w:rsidRDefault="0003390B" w:rsidP="00F46744">
      <w:pPr>
        <w:spacing w:after="0" w:line="240" w:lineRule="auto"/>
      </w:pPr>
    </w:p>
    <w:p w:rsidR="00564213" w:rsidRDefault="00B12C18" w:rsidP="00F46744">
      <w:pPr>
        <w:spacing w:after="0" w:line="240" w:lineRule="auto"/>
      </w:pPr>
      <w:r>
        <w:t>It may seem odd to think of an ion channel as sensing and responding to a membrane potential.  However, remember that the R groups of certain amino acids (arginine, aspartate, glutamate, histidine, lysine) are charged, so proteins containing these amino acids are also charged, and the exact 3D shape of these proteins can thus be affected by the relative charges in their local environment.</w:t>
      </w:r>
    </w:p>
    <w:p w:rsidR="00564213" w:rsidRDefault="00564213" w:rsidP="00F46744">
      <w:pPr>
        <w:spacing w:after="0" w:line="240" w:lineRule="auto"/>
      </w:pPr>
    </w:p>
    <w:p w:rsidR="00B12C18" w:rsidRDefault="00CC25ED" w:rsidP="00F46744">
      <w:pPr>
        <w:spacing w:after="0" w:line="240" w:lineRule="auto"/>
      </w:pPr>
      <w:r>
        <w:t>4.</w:t>
      </w:r>
      <w:r w:rsidR="00FE021A">
        <w:t>1</w:t>
      </w:r>
      <w:r w:rsidR="00564213">
        <w:t xml:space="preserve">. </w:t>
      </w:r>
      <w:r w:rsidR="00510209">
        <w:t xml:space="preserve">Consider the picture above in which neurons 1, 2, and 3 all connect to neuron 4.  Let’s say that neuron 1 releases enough neurotransmitter to depolarize the nearby membrane of the dendrite of neuron 4 to -55 mV. Will this be sufficient to open voltage-gated ion channels at the axon hillock?  Explain. </w:t>
      </w:r>
    </w:p>
    <w:p w:rsidR="00B12C18" w:rsidRDefault="00B12C18" w:rsidP="00F46744">
      <w:pPr>
        <w:spacing w:after="0" w:line="240" w:lineRule="auto"/>
      </w:pPr>
    </w:p>
    <w:p w:rsidR="00575A63" w:rsidRDefault="00575A63" w:rsidP="00F46744">
      <w:pPr>
        <w:spacing w:after="0" w:line="240" w:lineRule="auto"/>
      </w:pPr>
    </w:p>
    <w:p w:rsidR="00575A63" w:rsidRDefault="00575A63" w:rsidP="00F46744">
      <w:pPr>
        <w:spacing w:after="0" w:line="240" w:lineRule="auto"/>
      </w:pPr>
    </w:p>
    <w:p w:rsidR="00676855" w:rsidRDefault="00CC25ED" w:rsidP="00F46744">
      <w:pPr>
        <w:spacing w:after="0" w:line="240" w:lineRule="auto"/>
      </w:pPr>
      <w:r>
        <w:t>4.</w:t>
      </w:r>
      <w:r w:rsidR="00FE021A">
        <w:t>2</w:t>
      </w:r>
      <w:r w:rsidR="00676855">
        <w:t xml:space="preserve">. Considering the terms </w:t>
      </w:r>
      <w:r w:rsidR="00676855" w:rsidRPr="00575A63">
        <w:rPr>
          <w:b/>
        </w:rPr>
        <w:t>spatial summation</w:t>
      </w:r>
      <w:r w:rsidR="00676855">
        <w:t xml:space="preserve"> and </w:t>
      </w:r>
      <w:r w:rsidR="00676855" w:rsidRPr="00575A63">
        <w:rPr>
          <w:b/>
        </w:rPr>
        <w:t>temporal summation</w:t>
      </w:r>
      <w:r w:rsidR="00676855">
        <w:t>, explain two different ways by which input of neurons 1 and/or 3 might cause the opening of voltage-gated ion channels at the axon hillock of neuron 4.</w:t>
      </w:r>
    </w:p>
    <w:p w:rsidR="00B12C18" w:rsidRDefault="00B12C18" w:rsidP="00F46744">
      <w:pPr>
        <w:spacing w:after="0" w:line="240" w:lineRule="auto"/>
      </w:pPr>
    </w:p>
    <w:p w:rsidR="00676855" w:rsidRDefault="00676855" w:rsidP="00F46744">
      <w:pPr>
        <w:spacing w:after="0" w:line="240" w:lineRule="auto"/>
      </w:pPr>
    </w:p>
    <w:p w:rsidR="00575A63" w:rsidRDefault="00575A63"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5496"/>
      </w:tblGrid>
      <w:tr w:rsidR="002A1F99" w:rsidTr="002A1F99">
        <w:tc>
          <w:tcPr>
            <w:tcW w:w="4770" w:type="dxa"/>
          </w:tcPr>
          <w:p w:rsidR="002A1F99" w:rsidRDefault="00CC25ED" w:rsidP="002A1F99">
            <w:r>
              <w:t>4.</w:t>
            </w:r>
            <w:r w:rsidR="00FE021A">
              <w:t>3</w:t>
            </w:r>
            <w:r w:rsidR="002A1F99">
              <w:t>. Once the threshold value of -55 mV is reached, voltage-gated Na</w:t>
            </w:r>
            <w:r w:rsidR="002A1F99" w:rsidRPr="00575A63">
              <w:rPr>
                <w:vertAlign w:val="superscript"/>
              </w:rPr>
              <w:t>+</w:t>
            </w:r>
            <w:r w:rsidR="002A1F99">
              <w:t xml:space="preserve"> and voltage-gated K</w:t>
            </w:r>
            <w:r w:rsidR="002A1F99" w:rsidRPr="00575A63">
              <w:rPr>
                <w:vertAlign w:val="superscript"/>
              </w:rPr>
              <w:t>+</w:t>
            </w:r>
            <w:r w:rsidR="002A1F99">
              <w:t xml:space="preserve"> channels will both open, though not at the same time. The resulting changes in membrane potential are called an </w:t>
            </w:r>
            <w:r w:rsidR="002A1F99" w:rsidRPr="00575A63">
              <w:rPr>
                <w:b/>
              </w:rPr>
              <w:t>action potential</w:t>
            </w:r>
            <w:r w:rsidR="002A1F99">
              <w:t>.  These changes are shown in the curve at right (from Freeman et al., 2014).</w:t>
            </w:r>
          </w:p>
          <w:p w:rsidR="002A1F99" w:rsidRDefault="002A1F99" w:rsidP="00F46744">
            <w:r>
              <w:t>Label the part of this curve that is attributable to the voltage-gated Na</w:t>
            </w:r>
            <w:r w:rsidRPr="002A1F99">
              <w:rPr>
                <w:vertAlign w:val="superscript"/>
              </w:rPr>
              <w:t>+</w:t>
            </w:r>
            <w:r>
              <w:t xml:space="preserve"> channels (</w:t>
            </w:r>
            <w:r w:rsidRPr="002A1F99">
              <w:rPr>
                <w:i/>
              </w:rPr>
              <w:t>V-G Na</w:t>
            </w:r>
            <w:r w:rsidRPr="002A1F99">
              <w:rPr>
                <w:i/>
                <w:vertAlign w:val="superscript"/>
              </w:rPr>
              <w:t>+</w:t>
            </w:r>
            <w:r>
              <w:t>) and the part that is due to the voltage-gated K</w:t>
            </w:r>
            <w:r w:rsidRPr="002A1F99">
              <w:rPr>
                <w:vertAlign w:val="superscript"/>
              </w:rPr>
              <w:t>+</w:t>
            </w:r>
            <w:r>
              <w:t xml:space="preserve"> channels (</w:t>
            </w:r>
            <w:r w:rsidRPr="002A1F99">
              <w:rPr>
                <w:i/>
              </w:rPr>
              <w:t>V-G K</w:t>
            </w:r>
            <w:r w:rsidRPr="002A1F99">
              <w:rPr>
                <w:i/>
                <w:vertAlign w:val="superscript"/>
              </w:rPr>
              <w:t>+</w:t>
            </w:r>
            <w:r>
              <w:t>).</w:t>
            </w:r>
          </w:p>
        </w:tc>
        <w:tc>
          <w:tcPr>
            <w:tcW w:w="4675" w:type="dxa"/>
          </w:tcPr>
          <w:p w:rsidR="002A1F99" w:rsidRDefault="000C60B3" w:rsidP="00F46744">
            <w:r>
              <w:rPr>
                <w:noProof/>
              </w:rPr>
              <w:drawing>
                <wp:inline distT="0" distB="0" distL="0" distR="0">
                  <wp:extent cx="3348329" cy="277453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5812" cy="2797308"/>
                          </a:xfrm>
                          <a:prstGeom prst="rect">
                            <a:avLst/>
                          </a:prstGeom>
                        </pic:spPr>
                      </pic:pic>
                    </a:graphicData>
                  </a:graphic>
                </wp:inline>
              </w:drawing>
            </w:r>
          </w:p>
        </w:tc>
      </w:tr>
    </w:tbl>
    <w:p w:rsidR="009061DA" w:rsidRPr="009061DA" w:rsidRDefault="00C7432E" w:rsidP="00F46744">
      <w:pPr>
        <w:spacing w:after="0" w:line="240" w:lineRule="auto"/>
        <w:rPr>
          <w:u w:val="single"/>
        </w:rPr>
      </w:pPr>
      <w:r>
        <w:rPr>
          <w:u w:val="single"/>
        </w:rPr>
        <w:t xml:space="preserve">(5) </w:t>
      </w:r>
      <w:r w:rsidR="009061DA" w:rsidRPr="009061DA">
        <w:rPr>
          <w:u w:val="single"/>
        </w:rPr>
        <w:t>Action potentials along the axon</w:t>
      </w:r>
    </w:p>
    <w:p w:rsidR="009061DA" w:rsidRDefault="00F72346" w:rsidP="00F72346">
      <w:pPr>
        <w:tabs>
          <w:tab w:val="left" w:pos="1000"/>
        </w:tabs>
        <w:spacing w:after="0" w:line="240" w:lineRule="auto"/>
      </w:pPr>
      <w:r>
        <w:tab/>
      </w:r>
    </w:p>
    <w:p w:rsidR="009061DA" w:rsidRDefault="00A846AE" w:rsidP="00F46744">
      <w:pPr>
        <w:spacing w:after="0" w:line="240" w:lineRule="auto"/>
      </w:pPr>
      <w:r>
        <w:t xml:space="preserve">Once an action potential occurs at the axon hillock, it spreads along the </w:t>
      </w:r>
      <w:r w:rsidR="00564213">
        <w:t>axon.  From the axon hillock, some of the Na</w:t>
      </w:r>
      <w:r w:rsidR="00564213" w:rsidRPr="00564213">
        <w:rPr>
          <w:vertAlign w:val="superscript"/>
        </w:rPr>
        <w:t>+</w:t>
      </w:r>
      <w:r w:rsidR="00564213">
        <w:t xml:space="preserve"> ions entering the cell will diffuse a little way down the axon, depolarizing that part of </w:t>
      </w:r>
      <w:r w:rsidR="00564213">
        <w:lastRenderedPageBreak/>
        <w:t>the cell membrane and activating the voltage-gated channels there, causing another action potential there, leading to the entry of more Na</w:t>
      </w:r>
      <w:r w:rsidR="00564213" w:rsidRPr="00762713">
        <w:rPr>
          <w:vertAlign w:val="superscript"/>
        </w:rPr>
        <w:t>+</w:t>
      </w:r>
      <w:r w:rsidR="00564213">
        <w:t xml:space="preserve"> ions, which diffuse further down the axon, etc. </w:t>
      </w:r>
      <w:r w:rsidR="00762713">
        <w:t>That is, there are voltage-gated channels all along the axon (or at least at the nodes of Ranvier), in the case of myelinated axons) to regenerate the action potentials.</w:t>
      </w:r>
    </w:p>
    <w:p w:rsidR="00A846AE" w:rsidRDefault="00A846AE" w:rsidP="00F46744">
      <w:pPr>
        <w:spacing w:after="0" w:line="240" w:lineRule="auto"/>
      </w:pPr>
    </w:p>
    <w:p w:rsidR="00FA6565" w:rsidRDefault="00CC25ED" w:rsidP="00F46744">
      <w:pPr>
        <w:spacing w:after="0" w:line="240" w:lineRule="auto"/>
      </w:pPr>
      <w:r>
        <w:t>5.1</w:t>
      </w:r>
      <w:r w:rsidR="00FA6565">
        <w:t>. In brief, what is myelin?  (Use any resources you need to answer this question and the following ones.)</w:t>
      </w:r>
    </w:p>
    <w:p w:rsidR="00FA6565" w:rsidRDefault="00FA6565" w:rsidP="00F46744">
      <w:pPr>
        <w:spacing w:after="0" w:line="240" w:lineRule="auto"/>
      </w:pPr>
    </w:p>
    <w:p w:rsidR="00FA6565" w:rsidRDefault="00FA6565" w:rsidP="00F46744">
      <w:pPr>
        <w:spacing w:after="0" w:line="240" w:lineRule="auto"/>
      </w:pPr>
    </w:p>
    <w:p w:rsidR="00FA6565" w:rsidRDefault="00FA6565" w:rsidP="00F46744">
      <w:pPr>
        <w:spacing w:after="0" w:line="240" w:lineRule="auto"/>
      </w:pPr>
    </w:p>
    <w:p w:rsidR="00FA6565" w:rsidRDefault="00CC25ED" w:rsidP="00F46744">
      <w:pPr>
        <w:spacing w:after="0" w:line="240" w:lineRule="auto"/>
      </w:pPr>
      <w:r>
        <w:t>5.2</w:t>
      </w:r>
      <w:r w:rsidR="00FA6565">
        <w:t>. Are all axons coated in myelin?</w:t>
      </w:r>
    </w:p>
    <w:p w:rsidR="00FA6565" w:rsidRDefault="00FA6565" w:rsidP="00F46744">
      <w:pPr>
        <w:spacing w:after="0" w:line="240" w:lineRule="auto"/>
      </w:pPr>
    </w:p>
    <w:p w:rsidR="00FA6565" w:rsidRDefault="00CC25ED" w:rsidP="00F46744">
      <w:pPr>
        <w:spacing w:after="0" w:line="240" w:lineRule="auto"/>
      </w:pPr>
      <w:r>
        <w:t>5.3</w:t>
      </w:r>
      <w:r w:rsidR="00FA6565">
        <w:t>. How does the presence of myelin enhance or alter the process described in the paragraph above?</w:t>
      </w:r>
    </w:p>
    <w:p w:rsidR="00FA6565" w:rsidRDefault="00FA6565" w:rsidP="00F46744">
      <w:pPr>
        <w:spacing w:after="0" w:line="240" w:lineRule="auto"/>
      </w:pPr>
    </w:p>
    <w:p w:rsidR="00FE021A" w:rsidRDefault="00FE021A" w:rsidP="00F46744">
      <w:pPr>
        <w:spacing w:after="0" w:line="240" w:lineRule="auto"/>
      </w:pPr>
    </w:p>
    <w:p w:rsidR="00FE021A" w:rsidRDefault="00FE021A"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5167"/>
      </w:tblGrid>
      <w:tr w:rsidR="000F212C" w:rsidTr="00FA6565">
        <w:tc>
          <w:tcPr>
            <w:tcW w:w="4770" w:type="dxa"/>
          </w:tcPr>
          <w:p w:rsidR="000F212C" w:rsidRDefault="00CC25ED" w:rsidP="000F212C">
            <w:r>
              <w:t>5.4</w:t>
            </w:r>
            <w:r w:rsidR="000F212C">
              <w:t>. Consider a depolarization of the cell membrane up to a peak voltage of +40 mV.  This could happen anyw</w:t>
            </w:r>
            <w:r w:rsidR="00FA6565">
              <w:t>here in a neuron, including at a dendrite or at an</w:t>
            </w:r>
            <w:r w:rsidR="000F212C">
              <w:t xml:space="preserve"> axon.  </w:t>
            </w:r>
          </w:p>
          <w:p w:rsidR="000F212C" w:rsidRDefault="00FA6565" w:rsidP="00F46744">
            <w:r>
              <w:t>Now consider the spread of this depolarization away from where it initially occurred.  In the figure at right, draw one curve showing the spread of this depolarization along a dendrite, and another curve showing the spread of this depolarization along an axon. If the two curves are different, why are they different?</w:t>
            </w:r>
          </w:p>
        </w:tc>
        <w:tc>
          <w:tcPr>
            <w:tcW w:w="4675" w:type="dxa"/>
          </w:tcPr>
          <w:p w:rsidR="000F212C" w:rsidRDefault="000F212C" w:rsidP="00F46744">
            <w:r>
              <w:rPr>
                <w:noProof/>
              </w:rPr>
              <w:drawing>
                <wp:inline distT="0" distB="0" distL="0" distR="0">
                  <wp:extent cx="3144487" cy="1952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ndrite_vs_axon_cropped.jpg"/>
                          <pic:cNvPicPr/>
                        </pic:nvPicPr>
                        <pic:blipFill>
                          <a:blip r:embed="rId11">
                            <a:extLst>
                              <a:ext uri="{28A0092B-C50C-407E-A947-70E740481C1C}">
                                <a14:useLocalDpi xmlns:a14="http://schemas.microsoft.com/office/drawing/2010/main" val="0"/>
                              </a:ext>
                            </a:extLst>
                          </a:blip>
                          <a:stretch>
                            <a:fillRect/>
                          </a:stretch>
                        </pic:blipFill>
                        <pic:spPr>
                          <a:xfrm>
                            <a:off x="0" y="0"/>
                            <a:ext cx="3160116" cy="1962330"/>
                          </a:xfrm>
                          <a:prstGeom prst="rect">
                            <a:avLst/>
                          </a:prstGeom>
                        </pic:spPr>
                      </pic:pic>
                    </a:graphicData>
                  </a:graphic>
                </wp:inline>
              </w:drawing>
            </w:r>
          </w:p>
        </w:tc>
      </w:tr>
    </w:tbl>
    <w:p w:rsidR="000F212C" w:rsidRDefault="000F212C" w:rsidP="00F46744">
      <w:pPr>
        <w:spacing w:after="0" w:line="240" w:lineRule="auto"/>
      </w:pPr>
    </w:p>
    <w:p w:rsidR="000F212C" w:rsidRDefault="000F212C" w:rsidP="00F46744">
      <w:pPr>
        <w:spacing w:after="0" w:line="240" w:lineRule="auto"/>
      </w:pPr>
    </w:p>
    <w:p w:rsidR="000F212C" w:rsidRDefault="000F212C" w:rsidP="00F46744">
      <w:pPr>
        <w:spacing w:after="0" w:line="240" w:lineRule="auto"/>
      </w:pPr>
    </w:p>
    <w:p w:rsidR="000F212C" w:rsidRDefault="000F212C" w:rsidP="00F46744">
      <w:pPr>
        <w:spacing w:after="0" w:line="240" w:lineRule="auto"/>
      </w:pPr>
    </w:p>
    <w:p w:rsidR="00762713" w:rsidRDefault="00CC25ED" w:rsidP="00F46744">
      <w:pPr>
        <w:spacing w:after="0" w:line="240" w:lineRule="auto"/>
      </w:pPr>
      <w:r>
        <w:t>5.5</w:t>
      </w:r>
      <w:r w:rsidR="00FA6565">
        <w:t>. What happens when the action potential reaches the end of the axon?</w:t>
      </w:r>
    </w:p>
    <w:p w:rsidR="00762713" w:rsidRDefault="00762713" w:rsidP="00F46744">
      <w:pPr>
        <w:spacing w:after="0" w:line="240" w:lineRule="auto"/>
      </w:pPr>
    </w:p>
    <w:p w:rsidR="00FE021A" w:rsidRDefault="00FE021A" w:rsidP="00F46744">
      <w:pPr>
        <w:spacing w:after="0" w:line="240" w:lineRule="auto"/>
      </w:pPr>
    </w:p>
    <w:p w:rsidR="00CC25ED" w:rsidRDefault="00CC25ED" w:rsidP="00F46744">
      <w:pPr>
        <w:spacing w:after="0" w:line="240" w:lineRule="auto"/>
      </w:pPr>
    </w:p>
    <w:p w:rsidR="00EA64B4" w:rsidRDefault="00EA64B4">
      <w:pPr>
        <w:rPr>
          <w:u w:val="single"/>
        </w:rPr>
      </w:pPr>
      <w:r>
        <w:rPr>
          <w:u w:val="single"/>
        </w:rPr>
        <w:br w:type="page"/>
      </w:r>
    </w:p>
    <w:p w:rsidR="006D35FD" w:rsidRPr="00E134AF" w:rsidRDefault="00C7432E" w:rsidP="00F46744">
      <w:pPr>
        <w:spacing w:after="0" w:line="240" w:lineRule="auto"/>
        <w:rPr>
          <w:u w:val="single"/>
        </w:rPr>
      </w:pPr>
      <w:r>
        <w:rPr>
          <w:u w:val="single"/>
        </w:rPr>
        <w:lastRenderedPageBreak/>
        <w:t xml:space="preserve">(6) </w:t>
      </w:r>
      <w:r w:rsidR="00E655FC">
        <w:rPr>
          <w:u w:val="single"/>
        </w:rPr>
        <w:t>Alterations of</w:t>
      </w:r>
      <w:r w:rsidR="00E134AF" w:rsidRPr="00E134AF">
        <w:rPr>
          <w:u w:val="single"/>
        </w:rPr>
        <w:t xml:space="preserve"> neuronal communication</w:t>
      </w:r>
    </w:p>
    <w:p w:rsidR="00E134AF" w:rsidRDefault="00E134AF" w:rsidP="00F46744">
      <w:pPr>
        <w:spacing w:after="0" w:line="240" w:lineRule="auto"/>
      </w:pPr>
    </w:p>
    <w:p w:rsidR="008D0663" w:rsidRDefault="008D0663" w:rsidP="00F46744">
      <w:pPr>
        <w:spacing w:after="0" w:line="240" w:lineRule="auto"/>
      </w:pPr>
      <w:r>
        <w:t>Based on the information above, and any additional (e.g., online) resources you wish to consult, explain how normal neuron-to-neuron communication is affected by each of the following factors:</w:t>
      </w:r>
    </w:p>
    <w:p w:rsidR="008D0663" w:rsidRDefault="008D0663" w:rsidP="00F46744">
      <w:pPr>
        <w:spacing w:after="0" w:line="240" w:lineRule="auto"/>
      </w:pPr>
    </w:p>
    <w:p w:rsidR="008D0663" w:rsidRDefault="00CC25ED" w:rsidP="00F46744">
      <w:pPr>
        <w:spacing w:after="0" w:line="240" w:lineRule="auto"/>
      </w:pPr>
      <w:r>
        <w:t>6.1</w:t>
      </w:r>
      <w:r w:rsidR="008D0663">
        <w:t>. Trauma, in which neurons’ axons are severed</w:t>
      </w:r>
    </w:p>
    <w:p w:rsidR="008D0663" w:rsidRDefault="008D0663" w:rsidP="00F46744">
      <w:pPr>
        <w:spacing w:after="0" w:line="240" w:lineRule="auto"/>
      </w:pPr>
    </w:p>
    <w:p w:rsidR="008D0663" w:rsidRDefault="008D0663" w:rsidP="00F46744">
      <w:pPr>
        <w:spacing w:after="0" w:line="240" w:lineRule="auto"/>
      </w:pPr>
    </w:p>
    <w:p w:rsidR="00FA6565" w:rsidRDefault="00FA6565" w:rsidP="00F46744">
      <w:pPr>
        <w:spacing w:after="0" w:line="240" w:lineRule="auto"/>
      </w:pPr>
    </w:p>
    <w:p w:rsidR="008D0663" w:rsidRDefault="008D0663" w:rsidP="00F46744">
      <w:pPr>
        <w:spacing w:after="0" w:line="240" w:lineRule="auto"/>
      </w:pPr>
    </w:p>
    <w:p w:rsidR="008D0663" w:rsidRDefault="00CC25ED" w:rsidP="00F46744">
      <w:pPr>
        <w:spacing w:after="0" w:line="240" w:lineRule="auto"/>
      </w:pPr>
      <w:r>
        <w:t>6.2</w:t>
      </w:r>
      <w:r w:rsidR="007534CD">
        <w:t>. Lidocaine (an an</w:t>
      </w:r>
      <w:r w:rsidR="008D0663">
        <w:t>esthetic)</w:t>
      </w:r>
    </w:p>
    <w:p w:rsidR="008D0663" w:rsidRDefault="008D0663" w:rsidP="00F46744">
      <w:pPr>
        <w:spacing w:after="0" w:line="240" w:lineRule="auto"/>
      </w:pPr>
    </w:p>
    <w:p w:rsidR="008D0663" w:rsidRDefault="008D0663" w:rsidP="00F46744">
      <w:pPr>
        <w:spacing w:after="0" w:line="240" w:lineRule="auto"/>
      </w:pPr>
    </w:p>
    <w:p w:rsidR="00FA6565" w:rsidRDefault="00FA6565" w:rsidP="00F46744">
      <w:pPr>
        <w:spacing w:after="0" w:line="240" w:lineRule="auto"/>
      </w:pPr>
    </w:p>
    <w:p w:rsidR="008D0663" w:rsidRDefault="008D0663" w:rsidP="00F46744">
      <w:pPr>
        <w:spacing w:after="0" w:line="240" w:lineRule="auto"/>
      </w:pPr>
    </w:p>
    <w:p w:rsidR="008D0663" w:rsidRDefault="00CC25ED" w:rsidP="00F46744">
      <w:pPr>
        <w:spacing w:after="0" w:line="240" w:lineRule="auto"/>
      </w:pPr>
      <w:r>
        <w:t>6.3</w:t>
      </w:r>
      <w:r w:rsidR="008D0663">
        <w:t>. Cocaine</w:t>
      </w:r>
    </w:p>
    <w:p w:rsidR="008D0663" w:rsidRDefault="008D0663" w:rsidP="00F46744">
      <w:pPr>
        <w:spacing w:after="0" w:line="240" w:lineRule="auto"/>
      </w:pPr>
    </w:p>
    <w:p w:rsidR="00FA6565" w:rsidRDefault="00FA6565" w:rsidP="00F46744">
      <w:pPr>
        <w:spacing w:after="0" w:line="240" w:lineRule="auto"/>
      </w:pPr>
    </w:p>
    <w:p w:rsidR="008D0663" w:rsidRDefault="008D0663" w:rsidP="00F46744">
      <w:pPr>
        <w:spacing w:after="0" w:line="240" w:lineRule="auto"/>
      </w:pPr>
    </w:p>
    <w:p w:rsidR="008D0663" w:rsidRDefault="008D0663" w:rsidP="00F46744">
      <w:pPr>
        <w:spacing w:after="0" w:line="240" w:lineRule="auto"/>
      </w:pPr>
    </w:p>
    <w:p w:rsidR="008D0663" w:rsidRDefault="00CC25ED" w:rsidP="00F46744">
      <w:pPr>
        <w:spacing w:after="0" w:line="240" w:lineRule="auto"/>
      </w:pPr>
      <w:r>
        <w:t>6.4</w:t>
      </w:r>
      <w:r w:rsidR="008D0663">
        <w:t>. Serotonin-Specific Reuptake Inhibitors (SSRIs; used to treat depression; serotonin is a neurotransmitter)</w:t>
      </w:r>
    </w:p>
    <w:p w:rsidR="00345526" w:rsidRDefault="00345526" w:rsidP="00345526">
      <w:pPr>
        <w:spacing w:after="0" w:line="240" w:lineRule="auto"/>
      </w:pPr>
    </w:p>
    <w:p w:rsidR="00FA6565" w:rsidRDefault="00FA6565" w:rsidP="00345526">
      <w:pPr>
        <w:spacing w:after="0" w:line="240" w:lineRule="auto"/>
      </w:pPr>
    </w:p>
    <w:p w:rsidR="00CC25ED" w:rsidRDefault="00CC25ED" w:rsidP="00345526">
      <w:pPr>
        <w:spacing w:after="0" w:line="240" w:lineRule="auto"/>
      </w:pPr>
    </w:p>
    <w:p w:rsidR="00FA6565" w:rsidRDefault="00CC25ED" w:rsidP="00345526">
      <w:pPr>
        <w:spacing w:after="0" w:line="240" w:lineRule="auto"/>
      </w:pPr>
      <w:r>
        <w:t xml:space="preserve">6.5. Tetrodotoxin (from pufferfish) </w:t>
      </w:r>
    </w:p>
    <w:p w:rsidR="00CC25ED" w:rsidRPr="00345526" w:rsidRDefault="00CC25ED" w:rsidP="00345526">
      <w:pPr>
        <w:spacing w:after="0" w:line="240" w:lineRule="auto"/>
      </w:pPr>
      <w:bookmarkStart w:id="0" w:name="_GoBack"/>
      <w:bookmarkEnd w:id="0"/>
    </w:p>
    <w:sectPr w:rsidR="00CC25ED" w:rsidRPr="00345526" w:rsidSect="00144802">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9E" w:rsidRDefault="0021709E" w:rsidP="00FB7F17">
      <w:pPr>
        <w:spacing w:after="0" w:line="240" w:lineRule="auto"/>
      </w:pPr>
      <w:r>
        <w:separator/>
      </w:r>
    </w:p>
  </w:endnote>
  <w:endnote w:type="continuationSeparator" w:id="0">
    <w:p w:rsidR="0021709E" w:rsidRDefault="0021709E"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673054"/>
      <w:docPartObj>
        <w:docPartGallery w:val="Page Numbers (Bottom of Page)"/>
        <w:docPartUnique/>
      </w:docPartObj>
    </w:sdtPr>
    <w:sdtEndPr>
      <w:rPr>
        <w:noProof/>
      </w:rPr>
    </w:sdtEndPr>
    <w:sdtContent>
      <w:p w:rsidR="00354010" w:rsidRDefault="00354010">
        <w:pPr>
          <w:pStyle w:val="Footer"/>
          <w:jc w:val="center"/>
        </w:pPr>
        <w:r>
          <w:fldChar w:fldCharType="begin"/>
        </w:r>
        <w:r>
          <w:instrText xml:space="preserve"> PAGE   \* MERGEFORMAT </w:instrText>
        </w:r>
        <w:r>
          <w:fldChar w:fldCharType="separate"/>
        </w:r>
        <w:r w:rsidR="00343098">
          <w:rPr>
            <w:noProof/>
          </w:rPr>
          <w:t>2</w:t>
        </w:r>
        <w:r>
          <w:rPr>
            <w:noProof/>
          </w:rPr>
          <w:fldChar w:fldCharType="end"/>
        </w:r>
      </w:p>
    </w:sdtContent>
  </w:sdt>
  <w:p w:rsidR="00354010" w:rsidRDefault="0035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9E" w:rsidRDefault="0021709E" w:rsidP="00FB7F17">
      <w:pPr>
        <w:spacing w:after="0" w:line="240" w:lineRule="auto"/>
      </w:pPr>
      <w:r>
        <w:separator/>
      </w:r>
    </w:p>
  </w:footnote>
  <w:footnote w:type="continuationSeparator" w:id="0">
    <w:p w:rsidR="0021709E" w:rsidRDefault="0021709E" w:rsidP="00FB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010" w:rsidRPr="009832D3" w:rsidRDefault="000C60B3" w:rsidP="009832D3">
    <w:pPr>
      <w:pStyle w:val="Header"/>
      <w:rPr>
        <w:i/>
        <w:sz w:val="18"/>
      </w:rPr>
    </w:pPr>
    <w:r>
      <w:rPr>
        <w:i/>
        <w:sz w:val="18"/>
      </w:rPr>
      <w:t>Worksheet created by Greg Crowther (gcrowther@everettcc.edu) – feel free to modify as needed</w:t>
    </w:r>
    <w:r w:rsidR="00354010">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563"/>
    <w:multiLevelType w:val="hybridMultilevel"/>
    <w:tmpl w:val="FF8E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2E1E"/>
    <w:multiLevelType w:val="hybridMultilevel"/>
    <w:tmpl w:val="C11AA518"/>
    <w:lvl w:ilvl="0" w:tplc="D1B218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85D"/>
    <w:multiLevelType w:val="hybridMultilevel"/>
    <w:tmpl w:val="D6E0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8B4"/>
    <w:multiLevelType w:val="hybridMultilevel"/>
    <w:tmpl w:val="B038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8499D"/>
    <w:multiLevelType w:val="hybridMultilevel"/>
    <w:tmpl w:val="ED1E2B44"/>
    <w:lvl w:ilvl="0" w:tplc="6FE88D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5169"/>
    <w:multiLevelType w:val="hybridMultilevel"/>
    <w:tmpl w:val="4E6C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30D1B"/>
    <w:multiLevelType w:val="hybridMultilevel"/>
    <w:tmpl w:val="68A61EFA"/>
    <w:lvl w:ilvl="0" w:tplc="C28AB98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85819"/>
    <w:multiLevelType w:val="hybridMultilevel"/>
    <w:tmpl w:val="FCE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30201"/>
    <w:multiLevelType w:val="hybridMultilevel"/>
    <w:tmpl w:val="364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C6D87"/>
    <w:multiLevelType w:val="hybridMultilevel"/>
    <w:tmpl w:val="4044FFF2"/>
    <w:lvl w:ilvl="0" w:tplc="6FE88DD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D6F42"/>
    <w:multiLevelType w:val="hybridMultilevel"/>
    <w:tmpl w:val="31A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767ED"/>
    <w:multiLevelType w:val="hybridMultilevel"/>
    <w:tmpl w:val="92B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427AD"/>
    <w:multiLevelType w:val="hybridMultilevel"/>
    <w:tmpl w:val="AC4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4D7FA5"/>
    <w:multiLevelType w:val="hybridMultilevel"/>
    <w:tmpl w:val="C2C481D8"/>
    <w:lvl w:ilvl="0" w:tplc="046CDB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54639"/>
    <w:multiLevelType w:val="hybridMultilevel"/>
    <w:tmpl w:val="62D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C1371"/>
    <w:multiLevelType w:val="hybridMultilevel"/>
    <w:tmpl w:val="B8C01E72"/>
    <w:lvl w:ilvl="0" w:tplc="A9BAE79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4"/>
  </w:num>
  <w:num w:numId="4">
    <w:abstractNumId w:val="5"/>
  </w:num>
  <w:num w:numId="5">
    <w:abstractNumId w:val="10"/>
  </w:num>
  <w:num w:numId="6">
    <w:abstractNumId w:val="17"/>
  </w:num>
  <w:num w:numId="7">
    <w:abstractNumId w:val="23"/>
  </w:num>
  <w:num w:numId="8">
    <w:abstractNumId w:val="13"/>
  </w:num>
  <w:num w:numId="9">
    <w:abstractNumId w:val="15"/>
  </w:num>
  <w:num w:numId="10">
    <w:abstractNumId w:val="11"/>
  </w:num>
  <w:num w:numId="11">
    <w:abstractNumId w:val="2"/>
  </w:num>
  <w:num w:numId="12">
    <w:abstractNumId w:val="1"/>
  </w:num>
  <w:num w:numId="13">
    <w:abstractNumId w:val="20"/>
  </w:num>
  <w:num w:numId="14">
    <w:abstractNumId w:val="18"/>
  </w:num>
  <w:num w:numId="15">
    <w:abstractNumId w:val="6"/>
  </w:num>
  <w:num w:numId="16">
    <w:abstractNumId w:val="12"/>
  </w:num>
  <w:num w:numId="17">
    <w:abstractNumId w:val="22"/>
  </w:num>
  <w:num w:numId="18">
    <w:abstractNumId w:val="16"/>
  </w:num>
  <w:num w:numId="19">
    <w:abstractNumId w:val="8"/>
  </w:num>
  <w:num w:numId="20">
    <w:abstractNumId w:val="7"/>
  </w:num>
  <w:num w:numId="21">
    <w:abstractNumId w:val="21"/>
  </w:num>
  <w:num w:numId="22">
    <w:abstractNumId w:val="3"/>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C1"/>
    <w:rsid w:val="00003249"/>
    <w:rsid w:val="000240FA"/>
    <w:rsid w:val="0002484F"/>
    <w:rsid w:val="0003390B"/>
    <w:rsid w:val="00034B3F"/>
    <w:rsid w:val="00043CE0"/>
    <w:rsid w:val="00043D5B"/>
    <w:rsid w:val="00045EB3"/>
    <w:rsid w:val="00046392"/>
    <w:rsid w:val="0004675E"/>
    <w:rsid w:val="00051C1D"/>
    <w:rsid w:val="00057B5E"/>
    <w:rsid w:val="00074506"/>
    <w:rsid w:val="00075B37"/>
    <w:rsid w:val="000A197D"/>
    <w:rsid w:val="000A4A89"/>
    <w:rsid w:val="000A4CA2"/>
    <w:rsid w:val="000A5104"/>
    <w:rsid w:val="000A604F"/>
    <w:rsid w:val="000B240E"/>
    <w:rsid w:val="000B2685"/>
    <w:rsid w:val="000C2395"/>
    <w:rsid w:val="000C2398"/>
    <w:rsid w:val="000C33B5"/>
    <w:rsid w:val="000C60B3"/>
    <w:rsid w:val="000C6DBB"/>
    <w:rsid w:val="000D1B36"/>
    <w:rsid w:val="000D67A6"/>
    <w:rsid w:val="000E2346"/>
    <w:rsid w:val="000E42BE"/>
    <w:rsid w:val="000E4CE2"/>
    <w:rsid w:val="000E5C13"/>
    <w:rsid w:val="000E74E1"/>
    <w:rsid w:val="000F212C"/>
    <w:rsid w:val="00100F77"/>
    <w:rsid w:val="001016A7"/>
    <w:rsid w:val="001065FA"/>
    <w:rsid w:val="00113815"/>
    <w:rsid w:val="001147E1"/>
    <w:rsid w:val="001178F7"/>
    <w:rsid w:val="001206C2"/>
    <w:rsid w:val="00124EA7"/>
    <w:rsid w:val="00127124"/>
    <w:rsid w:val="00134837"/>
    <w:rsid w:val="001433C4"/>
    <w:rsid w:val="00144802"/>
    <w:rsid w:val="001668A1"/>
    <w:rsid w:val="001741A7"/>
    <w:rsid w:val="00180C4E"/>
    <w:rsid w:val="0018252F"/>
    <w:rsid w:val="00182DF4"/>
    <w:rsid w:val="001A6BE9"/>
    <w:rsid w:val="001B01EA"/>
    <w:rsid w:val="001B5CD0"/>
    <w:rsid w:val="001C1DE9"/>
    <w:rsid w:val="001C511E"/>
    <w:rsid w:val="001D53BF"/>
    <w:rsid w:val="001D626A"/>
    <w:rsid w:val="001E22D3"/>
    <w:rsid w:val="001E2AC3"/>
    <w:rsid w:val="001E3F5C"/>
    <w:rsid w:val="001E5AC4"/>
    <w:rsid w:val="001E6A5E"/>
    <w:rsid w:val="001F5DDA"/>
    <w:rsid w:val="002045CB"/>
    <w:rsid w:val="0021523B"/>
    <w:rsid w:val="0021709E"/>
    <w:rsid w:val="00221909"/>
    <w:rsid w:val="00225A4F"/>
    <w:rsid w:val="00226D05"/>
    <w:rsid w:val="0023733C"/>
    <w:rsid w:val="00237563"/>
    <w:rsid w:val="00240372"/>
    <w:rsid w:val="002462A0"/>
    <w:rsid w:val="002468A2"/>
    <w:rsid w:val="002503AB"/>
    <w:rsid w:val="0025433A"/>
    <w:rsid w:val="002610E0"/>
    <w:rsid w:val="002643C0"/>
    <w:rsid w:val="002724A0"/>
    <w:rsid w:val="00273EC3"/>
    <w:rsid w:val="00277E71"/>
    <w:rsid w:val="002A1F99"/>
    <w:rsid w:val="002A70A3"/>
    <w:rsid w:val="002B0C51"/>
    <w:rsid w:val="002B526F"/>
    <w:rsid w:val="002B5CBD"/>
    <w:rsid w:val="002C6DBC"/>
    <w:rsid w:val="002D0240"/>
    <w:rsid w:val="002D187E"/>
    <w:rsid w:val="002E4AAA"/>
    <w:rsid w:val="00302C21"/>
    <w:rsid w:val="00303F05"/>
    <w:rsid w:val="00333F1E"/>
    <w:rsid w:val="003352CF"/>
    <w:rsid w:val="00337770"/>
    <w:rsid w:val="0034127B"/>
    <w:rsid w:val="00343098"/>
    <w:rsid w:val="003444D4"/>
    <w:rsid w:val="00345526"/>
    <w:rsid w:val="00346A79"/>
    <w:rsid w:val="00352691"/>
    <w:rsid w:val="003528F4"/>
    <w:rsid w:val="00354010"/>
    <w:rsid w:val="003568E3"/>
    <w:rsid w:val="003659C3"/>
    <w:rsid w:val="00367164"/>
    <w:rsid w:val="00370E36"/>
    <w:rsid w:val="003734B8"/>
    <w:rsid w:val="00373E84"/>
    <w:rsid w:val="00374287"/>
    <w:rsid w:val="00377F14"/>
    <w:rsid w:val="0038066F"/>
    <w:rsid w:val="00381466"/>
    <w:rsid w:val="00387471"/>
    <w:rsid w:val="00390004"/>
    <w:rsid w:val="003A186B"/>
    <w:rsid w:val="003B36C0"/>
    <w:rsid w:val="003B3D3C"/>
    <w:rsid w:val="003B6852"/>
    <w:rsid w:val="003B6CF5"/>
    <w:rsid w:val="003C544E"/>
    <w:rsid w:val="003D39CD"/>
    <w:rsid w:val="003D50CD"/>
    <w:rsid w:val="003D51CE"/>
    <w:rsid w:val="003E06CC"/>
    <w:rsid w:val="003E1AEC"/>
    <w:rsid w:val="003F2589"/>
    <w:rsid w:val="003F5684"/>
    <w:rsid w:val="003F6C6B"/>
    <w:rsid w:val="004010B3"/>
    <w:rsid w:val="00403074"/>
    <w:rsid w:val="00416E30"/>
    <w:rsid w:val="00420116"/>
    <w:rsid w:val="00432078"/>
    <w:rsid w:val="004336CD"/>
    <w:rsid w:val="004354F6"/>
    <w:rsid w:val="0044318F"/>
    <w:rsid w:val="00460350"/>
    <w:rsid w:val="00465DAC"/>
    <w:rsid w:val="0046753B"/>
    <w:rsid w:val="00476932"/>
    <w:rsid w:val="004862A6"/>
    <w:rsid w:val="004A43B5"/>
    <w:rsid w:val="004B23D5"/>
    <w:rsid w:val="004B2860"/>
    <w:rsid w:val="004B6A83"/>
    <w:rsid w:val="004C5EB0"/>
    <w:rsid w:val="004F1234"/>
    <w:rsid w:val="004F27B9"/>
    <w:rsid w:val="004F3960"/>
    <w:rsid w:val="004F7DBD"/>
    <w:rsid w:val="00505A4F"/>
    <w:rsid w:val="00510209"/>
    <w:rsid w:val="00515E59"/>
    <w:rsid w:val="005232C0"/>
    <w:rsid w:val="00524384"/>
    <w:rsid w:val="00533712"/>
    <w:rsid w:val="00533760"/>
    <w:rsid w:val="005351EE"/>
    <w:rsid w:val="0053773D"/>
    <w:rsid w:val="0054539A"/>
    <w:rsid w:val="00550681"/>
    <w:rsid w:val="005512BA"/>
    <w:rsid w:val="005567E6"/>
    <w:rsid w:val="00564213"/>
    <w:rsid w:val="00573B0A"/>
    <w:rsid w:val="00575A63"/>
    <w:rsid w:val="005771ED"/>
    <w:rsid w:val="00582AA5"/>
    <w:rsid w:val="00592E4E"/>
    <w:rsid w:val="005A47F3"/>
    <w:rsid w:val="005A6F48"/>
    <w:rsid w:val="005B060C"/>
    <w:rsid w:val="005B3566"/>
    <w:rsid w:val="005B7259"/>
    <w:rsid w:val="005B7C35"/>
    <w:rsid w:val="005C3F08"/>
    <w:rsid w:val="005C41E0"/>
    <w:rsid w:val="005C4672"/>
    <w:rsid w:val="005C66C8"/>
    <w:rsid w:val="005C7FA0"/>
    <w:rsid w:val="005D1B1E"/>
    <w:rsid w:val="005D4849"/>
    <w:rsid w:val="005E2DAF"/>
    <w:rsid w:val="005E7586"/>
    <w:rsid w:val="0060198F"/>
    <w:rsid w:val="006020A5"/>
    <w:rsid w:val="00605621"/>
    <w:rsid w:val="006056B1"/>
    <w:rsid w:val="00607F46"/>
    <w:rsid w:val="0061295F"/>
    <w:rsid w:val="00616DB8"/>
    <w:rsid w:val="00626722"/>
    <w:rsid w:val="0062695D"/>
    <w:rsid w:val="00627EDA"/>
    <w:rsid w:val="00633531"/>
    <w:rsid w:val="00634E44"/>
    <w:rsid w:val="00651A41"/>
    <w:rsid w:val="0065525E"/>
    <w:rsid w:val="00661682"/>
    <w:rsid w:val="006616B6"/>
    <w:rsid w:val="006660BB"/>
    <w:rsid w:val="0066794D"/>
    <w:rsid w:val="00670714"/>
    <w:rsid w:val="006730FF"/>
    <w:rsid w:val="00676855"/>
    <w:rsid w:val="0068131D"/>
    <w:rsid w:val="00684223"/>
    <w:rsid w:val="006B20C6"/>
    <w:rsid w:val="006B6542"/>
    <w:rsid w:val="006D35FD"/>
    <w:rsid w:val="006D3968"/>
    <w:rsid w:val="006D3A0D"/>
    <w:rsid w:val="006E52BB"/>
    <w:rsid w:val="006F4DAE"/>
    <w:rsid w:val="006F5872"/>
    <w:rsid w:val="00700D5C"/>
    <w:rsid w:val="007039C8"/>
    <w:rsid w:val="00715292"/>
    <w:rsid w:val="007153FC"/>
    <w:rsid w:val="0072565F"/>
    <w:rsid w:val="00727616"/>
    <w:rsid w:val="00730DF3"/>
    <w:rsid w:val="00731711"/>
    <w:rsid w:val="00735348"/>
    <w:rsid w:val="007416EC"/>
    <w:rsid w:val="00744E2E"/>
    <w:rsid w:val="00750D8B"/>
    <w:rsid w:val="007534CD"/>
    <w:rsid w:val="00753519"/>
    <w:rsid w:val="00756A14"/>
    <w:rsid w:val="00756A42"/>
    <w:rsid w:val="007613A5"/>
    <w:rsid w:val="00761F71"/>
    <w:rsid w:val="00762713"/>
    <w:rsid w:val="0076705E"/>
    <w:rsid w:val="007734F1"/>
    <w:rsid w:val="007763F2"/>
    <w:rsid w:val="00781682"/>
    <w:rsid w:val="00781D60"/>
    <w:rsid w:val="0078365F"/>
    <w:rsid w:val="007A0A6A"/>
    <w:rsid w:val="007A4472"/>
    <w:rsid w:val="007C43AB"/>
    <w:rsid w:val="007E474F"/>
    <w:rsid w:val="007F1C0A"/>
    <w:rsid w:val="007F24C1"/>
    <w:rsid w:val="0080465F"/>
    <w:rsid w:val="00804E68"/>
    <w:rsid w:val="008108A7"/>
    <w:rsid w:val="008142C7"/>
    <w:rsid w:val="00820E5E"/>
    <w:rsid w:val="008214ED"/>
    <w:rsid w:val="00825A9A"/>
    <w:rsid w:val="008363F1"/>
    <w:rsid w:val="0084530B"/>
    <w:rsid w:val="00853EBB"/>
    <w:rsid w:val="008664F5"/>
    <w:rsid w:val="008679ED"/>
    <w:rsid w:val="00875FD6"/>
    <w:rsid w:val="00880AA2"/>
    <w:rsid w:val="00880F9B"/>
    <w:rsid w:val="008839C3"/>
    <w:rsid w:val="00887263"/>
    <w:rsid w:val="008A47DE"/>
    <w:rsid w:val="008A78E0"/>
    <w:rsid w:val="008B4DF3"/>
    <w:rsid w:val="008B6756"/>
    <w:rsid w:val="008B7045"/>
    <w:rsid w:val="008C182C"/>
    <w:rsid w:val="008C5A78"/>
    <w:rsid w:val="008C5E36"/>
    <w:rsid w:val="008C6BA6"/>
    <w:rsid w:val="008C7836"/>
    <w:rsid w:val="008D0663"/>
    <w:rsid w:val="008D5185"/>
    <w:rsid w:val="008E09C9"/>
    <w:rsid w:val="008E2B38"/>
    <w:rsid w:val="008E2D08"/>
    <w:rsid w:val="008E2F6A"/>
    <w:rsid w:val="008E62BF"/>
    <w:rsid w:val="008E739B"/>
    <w:rsid w:val="008F1FA3"/>
    <w:rsid w:val="008F5048"/>
    <w:rsid w:val="009061DA"/>
    <w:rsid w:val="00910162"/>
    <w:rsid w:val="00913D04"/>
    <w:rsid w:val="009176BD"/>
    <w:rsid w:val="009266C1"/>
    <w:rsid w:val="00931379"/>
    <w:rsid w:val="0093205F"/>
    <w:rsid w:val="00932311"/>
    <w:rsid w:val="00942D4A"/>
    <w:rsid w:val="00947F58"/>
    <w:rsid w:val="009529BB"/>
    <w:rsid w:val="00970207"/>
    <w:rsid w:val="00972169"/>
    <w:rsid w:val="00974CD7"/>
    <w:rsid w:val="009751E7"/>
    <w:rsid w:val="009832D3"/>
    <w:rsid w:val="00987E99"/>
    <w:rsid w:val="00990C7F"/>
    <w:rsid w:val="00992A58"/>
    <w:rsid w:val="009967B7"/>
    <w:rsid w:val="009A2B0F"/>
    <w:rsid w:val="009A2D19"/>
    <w:rsid w:val="009C085A"/>
    <w:rsid w:val="009C4A0F"/>
    <w:rsid w:val="009C5BD1"/>
    <w:rsid w:val="009D3E69"/>
    <w:rsid w:val="009D47A9"/>
    <w:rsid w:val="009D4E0E"/>
    <w:rsid w:val="009D766D"/>
    <w:rsid w:val="009D76F5"/>
    <w:rsid w:val="009E2019"/>
    <w:rsid w:val="009E438E"/>
    <w:rsid w:val="009E5FEF"/>
    <w:rsid w:val="00A13412"/>
    <w:rsid w:val="00A14C73"/>
    <w:rsid w:val="00A24B8E"/>
    <w:rsid w:val="00A27BEC"/>
    <w:rsid w:val="00A3617F"/>
    <w:rsid w:val="00A4372A"/>
    <w:rsid w:val="00A478CA"/>
    <w:rsid w:val="00A549E4"/>
    <w:rsid w:val="00A57F63"/>
    <w:rsid w:val="00A63D75"/>
    <w:rsid w:val="00A73B3B"/>
    <w:rsid w:val="00A80F8B"/>
    <w:rsid w:val="00A814D8"/>
    <w:rsid w:val="00A846AE"/>
    <w:rsid w:val="00AA4DDB"/>
    <w:rsid w:val="00AA6842"/>
    <w:rsid w:val="00AB52D0"/>
    <w:rsid w:val="00AB5F5B"/>
    <w:rsid w:val="00AB7DC1"/>
    <w:rsid w:val="00AD4D46"/>
    <w:rsid w:val="00AD7D97"/>
    <w:rsid w:val="00AE29A2"/>
    <w:rsid w:val="00AE41B1"/>
    <w:rsid w:val="00AE469C"/>
    <w:rsid w:val="00AE5C63"/>
    <w:rsid w:val="00AF2B1F"/>
    <w:rsid w:val="00AF4E12"/>
    <w:rsid w:val="00AF56CA"/>
    <w:rsid w:val="00AF6914"/>
    <w:rsid w:val="00B0052C"/>
    <w:rsid w:val="00B011F5"/>
    <w:rsid w:val="00B038C3"/>
    <w:rsid w:val="00B12C18"/>
    <w:rsid w:val="00B14DC6"/>
    <w:rsid w:val="00B206AE"/>
    <w:rsid w:val="00B33621"/>
    <w:rsid w:val="00B4718F"/>
    <w:rsid w:val="00B6060C"/>
    <w:rsid w:val="00B62CF0"/>
    <w:rsid w:val="00B6454F"/>
    <w:rsid w:val="00B672D9"/>
    <w:rsid w:val="00B67971"/>
    <w:rsid w:val="00B823A3"/>
    <w:rsid w:val="00B9014A"/>
    <w:rsid w:val="00B95A7B"/>
    <w:rsid w:val="00BA099F"/>
    <w:rsid w:val="00BA42EE"/>
    <w:rsid w:val="00BB2C0A"/>
    <w:rsid w:val="00BB54FE"/>
    <w:rsid w:val="00BB5F04"/>
    <w:rsid w:val="00BB6421"/>
    <w:rsid w:val="00BC52C7"/>
    <w:rsid w:val="00BC72A8"/>
    <w:rsid w:val="00BD124D"/>
    <w:rsid w:val="00BE45B2"/>
    <w:rsid w:val="00BE75D5"/>
    <w:rsid w:val="00BF0697"/>
    <w:rsid w:val="00BF20BE"/>
    <w:rsid w:val="00BF32A6"/>
    <w:rsid w:val="00C00971"/>
    <w:rsid w:val="00C062A9"/>
    <w:rsid w:val="00C06370"/>
    <w:rsid w:val="00C07024"/>
    <w:rsid w:val="00C238AF"/>
    <w:rsid w:val="00C24D05"/>
    <w:rsid w:val="00C2695F"/>
    <w:rsid w:val="00C33F91"/>
    <w:rsid w:val="00C34243"/>
    <w:rsid w:val="00C50507"/>
    <w:rsid w:val="00C537C5"/>
    <w:rsid w:val="00C53BFB"/>
    <w:rsid w:val="00C55412"/>
    <w:rsid w:val="00C70A6F"/>
    <w:rsid w:val="00C71A91"/>
    <w:rsid w:val="00C7432E"/>
    <w:rsid w:val="00C7691E"/>
    <w:rsid w:val="00C90AF5"/>
    <w:rsid w:val="00C94A65"/>
    <w:rsid w:val="00C96609"/>
    <w:rsid w:val="00CA6C77"/>
    <w:rsid w:val="00CB6B6D"/>
    <w:rsid w:val="00CB77DA"/>
    <w:rsid w:val="00CC25ED"/>
    <w:rsid w:val="00CC3B54"/>
    <w:rsid w:val="00CC49A9"/>
    <w:rsid w:val="00CD3DF4"/>
    <w:rsid w:val="00CD653A"/>
    <w:rsid w:val="00CE4D97"/>
    <w:rsid w:val="00CE567A"/>
    <w:rsid w:val="00CE6980"/>
    <w:rsid w:val="00CF062A"/>
    <w:rsid w:val="00CF28A4"/>
    <w:rsid w:val="00D00D25"/>
    <w:rsid w:val="00D03740"/>
    <w:rsid w:val="00D049FC"/>
    <w:rsid w:val="00D0558E"/>
    <w:rsid w:val="00D1020F"/>
    <w:rsid w:val="00D2150D"/>
    <w:rsid w:val="00D31B4C"/>
    <w:rsid w:val="00D36D18"/>
    <w:rsid w:val="00D4023C"/>
    <w:rsid w:val="00D50BE9"/>
    <w:rsid w:val="00D546C1"/>
    <w:rsid w:val="00D62615"/>
    <w:rsid w:val="00D62C80"/>
    <w:rsid w:val="00D7012E"/>
    <w:rsid w:val="00D75D0C"/>
    <w:rsid w:val="00D77B60"/>
    <w:rsid w:val="00D904E9"/>
    <w:rsid w:val="00D91E33"/>
    <w:rsid w:val="00D927CF"/>
    <w:rsid w:val="00D94929"/>
    <w:rsid w:val="00D95350"/>
    <w:rsid w:val="00D97DC9"/>
    <w:rsid w:val="00DA5DD9"/>
    <w:rsid w:val="00DB053B"/>
    <w:rsid w:val="00DB3A51"/>
    <w:rsid w:val="00DB6847"/>
    <w:rsid w:val="00DC3005"/>
    <w:rsid w:val="00DC71BF"/>
    <w:rsid w:val="00DD2C1C"/>
    <w:rsid w:val="00DD38C5"/>
    <w:rsid w:val="00DD65D3"/>
    <w:rsid w:val="00DD6CA5"/>
    <w:rsid w:val="00DE1A5E"/>
    <w:rsid w:val="00DE477D"/>
    <w:rsid w:val="00DE5116"/>
    <w:rsid w:val="00DF601B"/>
    <w:rsid w:val="00E00503"/>
    <w:rsid w:val="00E0181A"/>
    <w:rsid w:val="00E01E1B"/>
    <w:rsid w:val="00E1162C"/>
    <w:rsid w:val="00E134AF"/>
    <w:rsid w:val="00E173CD"/>
    <w:rsid w:val="00E179BD"/>
    <w:rsid w:val="00E224DA"/>
    <w:rsid w:val="00E24A7A"/>
    <w:rsid w:val="00E345B2"/>
    <w:rsid w:val="00E41791"/>
    <w:rsid w:val="00E449E0"/>
    <w:rsid w:val="00E44C24"/>
    <w:rsid w:val="00E44D38"/>
    <w:rsid w:val="00E53FAF"/>
    <w:rsid w:val="00E62AA9"/>
    <w:rsid w:val="00E655FC"/>
    <w:rsid w:val="00E707A5"/>
    <w:rsid w:val="00E71878"/>
    <w:rsid w:val="00E733B1"/>
    <w:rsid w:val="00E77922"/>
    <w:rsid w:val="00E80F9B"/>
    <w:rsid w:val="00E825BD"/>
    <w:rsid w:val="00E843A6"/>
    <w:rsid w:val="00E91B9B"/>
    <w:rsid w:val="00E936D6"/>
    <w:rsid w:val="00E96978"/>
    <w:rsid w:val="00EA1CF0"/>
    <w:rsid w:val="00EA34E9"/>
    <w:rsid w:val="00EA64B4"/>
    <w:rsid w:val="00EB2473"/>
    <w:rsid w:val="00EC195B"/>
    <w:rsid w:val="00EC2C55"/>
    <w:rsid w:val="00ED318A"/>
    <w:rsid w:val="00EE28B5"/>
    <w:rsid w:val="00EE7C07"/>
    <w:rsid w:val="00EF39D8"/>
    <w:rsid w:val="00F04E84"/>
    <w:rsid w:val="00F06985"/>
    <w:rsid w:val="00F10464"/>
    <w:rsid w:val="00F11323"/>
    <w:rsid w:val="00F13898"/>
    <w:rsid w:val="00F30346"/>
    <w:rsid w:val="00F33A30"/>
    <w:rsid w:val="00F402FD"/>
    <w:rsid w:val="00F42769"/>
    <w:rsid w:val="00F44BCB"/>
    <w:rsid w:val="00F46744"/>
    <w:rsid w:val="00F500AD"/>
    <w:rsid w:val="00F550F2"/>
    <w:rsid w:val="00F56BD5"/>
    <w:rsid w:val="00F63FD4"/>
    <w:rsid w:val="00F72346"/>
    <w:rsid w:val="00F72F08"/>
    <w:rsid w:val="00F73062"/>
    <w:rsid w:val="00F8001D"/>
    <w:rsid w:val="00F854E7"/>
    <w:rsid w:val="00F92525"/>
    <w:rsid w:val="00F94172"/>
    <w:rsid w:val="00F961AA"/>
    <w:rsid w:val="00F96AEF"/>
    <w:rsid w:val="00FA20C6"/>
    <w:rsid w:val="00FA6565"/>
    <w:rsid w:val="00FB327D"/>
    <w:rsid w:val="00FB5443"/>
    <w:rsid w:val="00FB7F17"/>
    <w:rsid w:val="00FC7735"/>
    <w:rsid w:val="00FD19C1"/>
    <w:rsid w:val="00FD1F25"/>
    <w:rsid w:val="00FD71B0"/>
    <w:rsid w:val="00FD7F0B"/>
    <w:rsid w:val="00FE021A"/>
    <w:rsid w:val="00FE1168"/>
    <w:rsid w:val="00FE5F82"/>
    <w:rsid w:val="00FF02E4"/>
    <w:rsid w:val="00FF037B"/>
    <w:rsid w:val="00FF0448"/>
    <w:rsid w:val="00FF1754"/>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ADB5"/>
  <w15:chartTrackingRefBased/>
  <w15:docId w15:val="{32BF1DBB-CD05-4CD8-AEFC-AE4BF61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paragraph" w:styleId="NormalWeb">
    <w:name w:val="Normal (Web)"/>
    <w:basedOn w:val="Normal"/>
    <w:uiPriority w:val="99"/>
    <w:semiHidden/>
    <w:unhideWhenUsed/>
    <w:rsid w:val="00AB7D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6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 Crowther</cp:lastModifiedBy>
  <cp:revision>10</cp:revision>
  <cp:lastPrinted>2015-03-31T09:01:00Z</cp:lastPrinted>
  <dcterms:created xsi:type="dcterms:W3CDTF">2018-02-05T05:51:00Z</dcterms:created>
  <dcterms:modified xsi:type="dcterms:W3CDTF">2018-03-09T21:18:00Z</dcterms:modified>
</cp:coreProperties>
</file>