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E5" w:rsidRDefault="005A15E5" w:rsidP="00AE413E">
      <w:pPr>
        <w:spacing w:after="120"/>
        <w:ind w:firstLine="0"/>
        <w:rPr>
          <w:b/>
        </w:rPr>
      </w:pPr>
      <w:r>
        <w:rPr>
          <w:b/>
        </w:rPr>
        <w:t>CEE 345 Part 2, Assignment #</w:t>
      </w:r>
      <w:r w:rsidR="00D86445">
        <w:rPr>
          <w:b/>
        </w:rPr>
        <w:t>2</w:t>
      </w:r>
      <w:r w:rsidR="00AE413E">
        <w:rPr>
          <w:b/>
        </w:rPr>
        <w:t xml:space="preserve">,  </w:t>
      </w:r>
      <w:r>
        <w:rPr>
          <w:b/>
        </w:rPr>
        <w:t xml:space="preserve">Due </w:t>
      </w:r>
      <w:r w:rsidR="001B29B6">
        <w:rPr>
          <w:b/>
        </w:rPr>
        <w:t>5</w:t>
      </w:r>
      <w:r>
        <w:rPr>
          <w:b/>
        </w:rPr>
        <w:t>/</w:t>
      </w:r>
      <w:r w:rsidR="001B29B6">
        <w:rPr>
          <w:b/>
        </w:rPr>
        <w:t>16</w:t>
      </w:r>
      <w:r>
        <w:rPr>
          <w:b/>
        </w:rPr>
        <w:t xml:space="preserve">, </w:t>
      </w:r>
      <w:r w:rsidR="001B29B6">
        <w:rPr>
          <w:b/>
        </w:rPr>
        <w:t>11</w:t>
      </w:r>
      <w:r>
        <w:rPr>
          <w:b/>
        </w:rPr>
        <w:t>:30</w:t>
      </w:r>
      <w:r w:rsidR="001B29B6">
        <w:rPr>
          <w:b/>
        </w:rPr>
        <w:t>a</w:t>
      </w:r>
      <w:r>
        <w:rPr>
          <w:b/>
        </w:rPr>
        <w:t>m</w:t>
      </w:r>
    </w:p>
    <w:p w:rsidR="005A15E5" w:rsidRDefault="005A15E5" w:rsidP="005A15E5">
      <w:pPr>
        <w:ind w:firstLine="0"/>
        <w:rPr>
          <w:b/>
        </w:rPr>
      </w:pPr>
    </w:p>
    <w:p w:rsidR="001B29B6" w:rsidRDefault="001B29B6" w:rsidP="000F116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Solve Question #8 from HW#1.</w:t>
      </w:r>
    </w:p>
    <w:p w:rsidR="005A15E5" w:rsidRDefault="005A15E5" w:rsidP="000F116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Munson </w:t>
      </w:r>
      <w:r w:rsidR="00D86445">
        <w:t>12</w:t>
      </w:r>
      <w:r w:rsidR="000F116A">
        <w:t>.</w:t>
      </w:r>
      <w:r w:rsidR="001B29B6">
        <w:t>30</w:t>
      </w:r>
      <w:r w:rsidR="000F116A">
        <w:t>.</w:t>
      </w:r>
    </w:p>
    <w:p w:rsidR="000F116A" w:rsidRDefault="000F116A" w:rsidP="000F116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Munson </w:t>
      </w:r>
      <w:r w:rsidR="00D86445">
        <w:t>12</w:t>
      </w:r>
      <w:r>
        <w:t>.</w:t>
      </w:r>
      <w:r w:rsidR="00D86445">
        <w:t>3</w:t>
      </w:r>
      <w:r w:rsidR="001B29B6">
        <w:t>7</w:t>
      </w:r>
      <w:r>
        <w:t>.</w:t>
      </w:r>
      <w:r w:rsidR="001B29B6">
        <w:t xml:space="preserve"> Answer only the first part of the question (i.e., you need not assess whether the pump is a good choice for the given application).</w:t>
      </w:r>
    </w:p>
    <w:p w:rsidR="000F116A" w:rsidRDefault="00D86445" w:rsidP="000F116A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rPr>
          <w:vanish/>
        </w:rPr>
        <w:t>(Houghtalen Example 5.5, p.161)</w:t>
      </w:r>
      <w:r>
        <w:t xml:space="preserve"> </w:t>
      </w:r>
      <w:r w:rsidR="009740F3">
        <w:t xml:space="preserve">In the figure below, </w:t>
      </w:r>
      <w:r w:rsidR="009740F3">
        <w:rPr>
          <w:i/>
        </w:rPr>
        <w:t>E</w:t>
      </w:r>
      <w:r w:rsidR="009740F3">
        <w:rPr>
          <w:i/>
          <w:vertAlign w:val="subscript"/>
        </w:rPr>
        <w:t>A</w:t>
      </w:r>
      <w:r w:rsidR="009740F3">
        <w:t xml:space="preserve"> is 110 ft, </w:t>
      </w:r>
      <w:r w:rsidR="009740F3">
        <w:rPr>
          <w:i/>
        </w:rPr>
        <w:t>E</w:t>
      </w:r>
      <w:r w:rsidR="009740F3">
        <w:rPr>
          <w:i/>
          <w:vertAlign w:val="subscript"/>
        </w:rPr>
        <w:t>B</w:t>
      </w:r>
      <w:r w:rsidR="009740F3">
        <w:t xml:space="preserve"> is 120 ft, and </w:t>
      </w:r>
      <w:r w:rsidR="009740F3">
        <w:rPr>
          <w:i/>
        </w:rPr>
        <w:t>E</w:t>
      </w:r>
      <w:r w:rsidR="009740F3">
        <w:rPr>
          <w:i/>
          <w:vertAlign w:val="subscript"/>
        </w:rPr>
        <w:t>C</w:t>
      </w:r>
      <w:r w:rsidR="009740F3">
        <w:t xml:space="preserve"> is 140 ft. The Darcy-Weisbach friction factor in both pipes is 0.02. Pipe</w:t>
      </w:r>
      <w:r w:rsidR="00746EF9">
        <w:t>s</w:t>
      </w:r>
      <w:r w:rsidR="009740F3">
        <w:t> 1</w:t>
      </w:r>
      <w:r w:rsidR="00746EF9">
        <w:t xml:space="preserve"> and 2 are</w:t>
      </w:r>
      <w:r w:rsidR="009740F3">
        <w:t xml:space="preserve"> 10,000 ft </w:t>
      </w:r>
      <w:r w:rsidR="00746EF9">
        <w:t xml:space="preserve">and 15,000 ft </w:t>
      </w:r>
      <w:r w:rsidR="009740F3">
        <w:t>long</w:t>
      </w:r>
      <w:r w:rsidR="00746EF9">
        <w:t xml:space="preserve">, respectively, </w:t>
      </w:r>
      <w:r w:rsidR="009740F3">
        <w:t xml:space="preserve">and </w:t>
      </w:r>
      <w:r w:rsidR="00746EF9">
        <w:t xml:space="preserve">both pipes are </w:t>
      </w:r>
      <w:r w:rsidR="009740F3">
        <w:t>2.5 ft</w:t>
      </w:r>
      <w:r w:rsidR="00746EF9">
        <w:t xml:space="preserve"> in diameter</w:t>
      </w:r>
      <w:r w:rsidR="009740F3">
        <w:t>. The pump characteristics are given in the following table. Determine the discharge in each pipe.</w:t>
      </w:r>
      <w:r w:rsidR="00A00850">
        <w:t xml:space="preserve"> Assume that the minor headlosses are much smaller than the losses in the pipes themselves.</w:t>
      </w:r>
    </w:p>
    <w:tbl>
      <w:tblPr>
        <w:tblStyle w:val="TableGrid"/>
        <w:tblW w:w="0" w:type="auto"/>
        <w:jc w:val="center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</w:tblGrid>
      <w:tr w:rsidR="009740F3" w:rsidTr="00E13458">
        <w:trPr>
          <w:jc w:val="center"/>
        </w:trPr>
        <w:tc>
          <w:tcPr>
            <w:tcW w:w="1384" w:type="dxa"/>
          </w:tcPr>
          <w:p w:rsidR="009740F3" w:rsidRPr="00E516F5" w:rsidRDefault="009740F3" w:rsidP="009740F3">
            <w:pPr>
              <w:spacing w:after="0"/>
              <w:ind w:firstLine="0"/>
              <w:jc w:val="center"/>
              <w:rPr>
                <w:u w:val="single"/>
              </w:rPr>
            </w:pPr>
            <w:r w:rsidRPr="00E516F5">
              <w:rPr>
                <w:u w:val="single"/>
              </w:rPr>
              <w:t>Head (</w:t>
            </w:r>
            <w:r>
              <w:rPr>
                <w:u w:val="single"/>
              </w:rPr>
              <w:t>ft</w:t>
            </w:r>
            <w:r w:rsidRPr="00E516F5">
              <w:rPr>
                <w:u w:val="single"/>
              </w:rPr>
              <w:t>)</w:t>
            </w:r>
          </w:p>
        </w:tc>
        <w:tc>
          <w:tcPr>
            <w:tcW w:w="1134" w:type="dxa"/>
          </w:tcPr>
          <w:p w:rsidR="009740F3" w:rsidRPr="00E516F5" w:rsidRDefault="009740F3" w:rsidP="009740F3">
            <w:pPr>
              <w:spacing w:after="0"/>
              <w:ind w:firstLine="0"/>
              <w:jc w:val="center"/>
              <w:rPr>
                <w:u w:val="single"/>
              </w:rPr>
            </w:pPr>
            <w:r w:rsidRPr="00E516F5">
              <w:rPr>
                <w:i/>
                <w:u w:val="single"/>
              </w:rPr>
              <w:t>Q</w:t>
            </w:r>
            <w:r w:rsidRPr="00E516F5">
              <w:rPr>
                <w:u w:val="single"/>
              </w:rPr>
              <w:t xml:space="preserve"> (</w:t>
            </w:r>
            <w:r>
              <w:rPr>
                <w:u w:val="single"/>
              </w:rPr>
              <w:t>cfs</w:t>
            </w:r>
            <w:r w:rsidRPr="00E516F5">
              <w:rPr>
                <w:u w:val="single"/>
              </w:rPr>
              <w:t>)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9740F3">
            <w:pPr>
              <w:spacing w:after="0"/>
              <w:ind w:firstLine="0"/>
              <w:jc w:val="center"/>
            </w:pPr>
            <w:r>
              <w:t>78.5</w:t>
            </w:r>
          </w:p>
        </w:tc>
        <w:tc>
          <w:tcPr>
            <w:tcW w:w="1134" w:type="dxa"/>
          </w:tcPr>
          <w:p w:rsidR="009740F3" w:rsidRDefault="009740F3" w:rsidP="009740F3">
            <w:pPr>
              <w:spacing w:after="0"/>
              <w:ind w:firstLine="0"/>
              <w:jc w:val="center"/>
            </w:pPr>
            <w:r>
              <w:t>10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74.0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20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66.5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30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56.0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40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42.5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50</w:t>
            </w:r>
          </w:p>
        </w:tc>
      </w:tr>
      <w:tr w:rsidR="009740F3" w:rsidTr="00E13458">
        <w:trPr>
          <w:jc w:val="center"/>
        </w:trPr>
        <w:tc>
          <w:tcPr>
            <w:tcW w:w="138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26.0</w:t>
            </w:r>
          </w:p>
        </w:tc>
        <w:tc>
          <w:tcPr>
            <w:tcW w:w="1134" w:type="dxa"/>
          </w:tcPr>
          <w:p w:rsidR="009740F3" w:rsidRDefault="009740F3" w:rsidP="00E13458">
            <w:pPr>
              <w:spacing w:after="0"/>
              <w:ind w:firstLine="0"/>
              <w:jc w:val="center"/>
            </w:pPr>
            <w:r>
              <w:t>60</w:t>
            </w:r>
          </w:p>
        </w:tc>
      </w:tr>
    </w:tbl>
    <w:p w:rsidR="00E516F5" w:rsidRDefault="007030FB" w:rsidP="00E516F5">
      <w:pPr>
        <w:ind w:left="357" w:firstLine="0"/>
        <w:jc w:val="center"/>
      </w:pPr>
      <w:r>
        <w:rPr>
          <w:noProof/>
        </w:rPr>
        <w:drawing>
          <wp:inline distT="0" distB="0" distL="0" distR="0">
            <wp:extent cx="36099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B2" w:rsidRDefault="00B914B2" w:rsidP="00E516F5">
      <w:pPr>
        <w:ind w:left="357" w:firstLine="0"/>
        <w:jc w:val="center"/>
      </w:pPr>
    </w:p>
    <w:p w:rsidR="00EC4B60" w:rsidRDefault="00D86445" w:rsidP="00EC4B60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rPr>
          <w:vanish/>
        </w:rPr>
        <w:t>(Mays, Example 12.5.4</w:t>
      </w:r>
      <w:r w:rsidR="00B914B2">
        <w:rPr>
          <w:vanish/>
        </w:rPr>
        <w:t>, p.510</w:t>
      </w:r>
      <w:r>
        <w:rPr>
          <w:vanish/>
        </w:rPr>
        <w:t>)</w:t>
      </w:r>
      <w:r w:rsidRPr="0016076D">
        <w:t xml:space="preserve"> </w:t>
      </w:r>
      <w:r w:rsidR="0016076D">
        <w:t>A</w:t>
      </w:r>
      <w:r w:rsidR="0016076D" w:rsidRPr="0016076D">
        <w:t xml:space="preserve"> water supply facility consists of two reservoirs, two pumps, and connecting pipelines. A schematic of the installation is shown below. </w:t>
      </w:r>
      <w:r w:rsidR="00BF52F2" w:rsidRPr="0016076D">
        <w:t>Water is supplied to reservoir 2 from reservoir 1.</w:t>
      </w:r>
      <w:r w:rsidR="00BF52F2">
        <w:t xml:space="preserve"> Each line has a check valve, so that flow can go in the direction of reservoir 2 if sufficient head is provided to cause flow and direction, but no flow passes through the line if the head is insufficient to drive the water toward reservoir 2.</w:t>
      </w:r>
    </w:p>
    <w:p w:rsidR="0016076D" w:rsidRDefault="0016076D" w:rsidP="0016076D">
      <w:pPr>
        <w:ind w:left="720" w:firstLine="0"/>
      </w:pPr>
      <w:r>
        <w:t xml:space="preserve">The elevation of the water surface </w:t>
      </w:r>
      <w:r w:rsidR="00B008EC">
        <w:t xml:space="preserve">in </w:t>
      </w:r>
      <w:r>
        <w:t xml:space="preserve">reservoir 1 is </w:t>
      </w:r>
      <w:r w:rsidR="00B5779E">
        <w:t>100 ft</w:t>
      </w:r>
      <w:r>
        <w:t xml:space="preserve"> and th</w:t>
      </w:r>
      <w:r w:rsidR="00B008EC">
        <w:t xml:space="preserve">at in </w:t>
      </w:r>
      <w:r w:rsidR="00B5779E">
        <w:t xml:space="preserve">reservoir </w:t>
      </w:r>
      <w:r>
        <w:t>2 is 250</w:t>
      </w:r>
      <w:r w:rsidR="00B5779E">
        <w:t> </w:t>
      </w:r>
      <w:r>
        <w:t>ft. The suction and discharge lines are all located 10</w:t>
      </w:r>
      <w:r w:rsidR="00B5779E">
        <w:t> </w:t>
      </w:r>
      <w:r>
        <w:t>ft below the water surfaces. The Darcy-Weisbach friction factor is 0.021 for all pipes. The pump characteristics are shown in the figure provided</w:t>
      </w:r>
      <w:r w:rsidR="00537F3A">
        <w:t xml:space="preserve"> and can be reasonably approximated by the following equations.</w:t>
      </w:r>
    </w:p>
    <w:p w:rsidR="00537F3A" w:rsidRDefault="00537F3A" w:rsidP="00537F3A">
      <w:pPr>
        <w:ind w:left="1440" w:firstLine="0"/>
      </w:pPr>
      <w:r>
        <w:t xml:space="preserve">For Pump A:  TDH = </w:t>
      </w:r>
      <w:r w:rsidRPr="00537F3A">
        <w:rPr>
          <w:rFonts w:ascii="Symbol" w:hAnsi="Symbol"/>
        </w:rPr>
        <w:t></w:t>
      </w:r>
      <w:r>
        <w:t>8.29E</w:t>
      </w:r>
      <w:r w:rsidRPr="00537F3A">
        <w:rPr>
          <w:rFonts w:ascii="Symbol" w:hAnsi="Symbol"/>
        </w:rPr>
        <w:t></w:t>
      </w:r>
      <w:r>
        <w:t>09</w:t>
      </w:r>
      <w:r w:rsidRPr="00537F3A">
        <w:rPr>
          <w:i/>
        </w:rPr>
        <w:t>Q</w:t>
      </w:r>
      <w:r>
        <w:rPr>
          <w:vertAlign w:val="superscript"/>
        </w:rPr>
        <w:t>3</w:t>
      </w:r>
      <w:r>
        <w:t xml:space="preserve"> + 6.12E</w:t>
      </w:r>
      <w:r w:rsidRPr="00537F3A">
        <w:rPr>
          <w:rFonts w:ascii="Symbol" w:hAnsi="Symbol"/>
        </w:rPr>
        <w:t></w:t>
      </w:r>
      <w:r>
        <w:t>06</w:t>
      </w:r>
      <w:r w:rsidRPr="00537F3A">
        <w:rPr>
          <w:i/>
        </w:rPr>
        <w:t>Q</w:t>
      </w:r>
      <w:r>
        <w:rPr>
          <w:vertAlign w:val="superscript"/>
        </w:rPr>
        <w:t>2</w:t>
      </w:r>
      <w:r>
        <w:t xml:space="preserve"> </w:t>
      </w:r>
      <w:r w:rsidRPr="00537F3A">
        <w:rPr>
          <w:rFonts w:ascii="Symbol" w:hAnsi="Symbol"/>
        </w:rPr>
        <w:t></w:t>
      </w:r>
      <w:r>
        <w:t xml:space="preserve"> 0.0129</w:t>
      </w:r>
      <w:r w:rsidRPr="00537F3A">
        <w:rPr>
          <w:i/>
        </w:rPr>
        <w:t>Q</w:t>
      </w:r>
      <w:r>
        <w:t xml:space="preserve"> + 225</w:t>
      </w:r>
    </w:p>
    <w:p w:rsidR="00537F3A" w:rsidRDefault="00537F3A" w:rsidP="00537F3A">
      <w:pPr>
        <w:ind w:left="1440" w:firstLine="0"/>
      </w:pPr>
      <w:r>
        <w:t xml:space="preserve">For Pump B:  TDH = </w:t>
      </w:r>
      <w:r w:rsidRPr="00537F3A">
        <w:rPr>
          <w:rFonts w:ascii="Symbol" w:hAnsi="Symbol"/>
        </w:rPr>
        <w:t></w:t>
      </w:r>
      <w:r>
        <w:t>1.04E</w:t>
      </w:r>
      <w:r w:rsidRPr="00537F3A">
        <w:rPr>
          <w:rFonts w:ascii="Symbol" w:hAnsi="Symbol"/>
        </w:rPr>
        <w:t></w:t>
      </w:r>
      <w:r>
        <w:t>08</w:t>
      </w:r>
      <w:r w:rsidRPr="00537F3A">
        <w:rPr>
          <w:i/>
        </w:rPr>
        <w:t>Q</w:t>
      </w:r>
      <w:r>
        <w:rPr>
          <w:vertAlign w:val="superscript"/>
        </w:rPr>
        <w:t>3</w:t>
      </w:r>
      <w:r>
        <w:t xml:space="preserve"> + 1.30E</w:t>
      </w:r>
      <w:r w:rsidRPr="00537F3A">
        <w:rPr>
          <w:rFonts w:ascii="Symbol" w:hAnsi="Symbol"/>
        </w:rPr>
        <w:t></w:t>
      </w:r>
      <w:r>
        <w:t>05</w:t>
      </w:r>
      <w:r w:rsidRPr="00537F3A">
        <w:rPr>
          <w:i/>
        </w:rPr>
        <w:t>Q</w:t>
      </w:r>
      <w:r>
        <w:rPr>
          <w:vertAlign w:val="superscript"/>
        </w:rPr>
        <w:t>2</w:t>
      </w:r>
      <w:r>
        <w:t xml:space="preserve"> </w:t>
      </w:r>
      <w:r w:rsidRPr="00537F3A">
        <w:rPr>
          <w:rFonts w:ascii="Symbol" w:hAnsi="Symbol"/>
        </w:rPr>
        <w:t></w:t>
      </w:r>
      <w:r>
        <w:t xml:space="preserve"> 0.0163</w:t>
      </w:r>
      <w:r w:rsidRPr="00537F3A">
        <w:rPr>
          <w:i/>
        </w:rPr>
        <w:t>Q</w:t>
      </w:r>
      <w:r>
        <w:t xml:space="preserve"> + 200</w:t>
      </w:r>
    </w:p>
    <w:p w:rsidR="00537F3A" w:rsidRDefault="00537F3A" w:rsidP="00537F3A">
      <w:pPr>
        <w:ind w:left="1440" w:firstLine="0"/>
      </w:pPr>
    </w:p>
    <w:p w:rsidR="00261F92" w:rsidRDefault="00C459D9" w:rsidP="0016076D">
      <w:pPr>
        <w:ind w:left="72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1057275</wp:posOffset>
                </wp:positionV>
                <wp:extent cx="2533650" cy="1943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943100"/>
                          <a:chOff x="0" y="0"/>
                          <a:chExt cx="2533650" cy="194310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08585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15" w:rsidRPr="00F01015" w:rsidRDefault="00F01015" w:rsidP="00F01015">
                              <w:pPr>
                                <w:spacing w:after="0"/>
                                <w:ind w:firstLine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Pipe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2533650" cy="1943100"/>
                            <a:chOff x="0" y="0"/>
                            <a:chExt cx="2533650" cy="1943100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00200"/>
                              <a:ext cx="92392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015" w:rsidRPr="00F01015" w:rsidRDefault="00F01015" w:rsidP="00F01015">
                                <w:pPr>
                                  <w:spacing w:after="0"/>
                                  <w:ind w:firstLine="0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F01015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Pipe 1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 (top),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br/>
                                  <w:t>Pipe 2 (bot)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52425"/>
                              <a:ext cx="5143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015" w:rsidRPr="00F01015" w:rsidRDefault="00F01015" w:rsidP="00F01015">
                                <w:pPr>
                                  <w:spacing w:after="0"/>
                                  <w:ind w:firstLine="0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Pipe </w:t>
                                </w:r>
                                <w:r w:rsidR="00C459D9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25" y="0"/>
                              <a:ext cx="5143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015" w:rsidRPr="00F01015" w:rsidRDefault="00F01015" w:rsidP="00F01015">
                                <w:pPr>
                                  <w:spacing w:after="0"/>
                                  <w:ind w:firstLine="0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 xml:space="preserve">Pipe </w:t>
                                </w:r>
                                <w:r w:rsidR="00C459D9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105.75pt;margin-top:83.25pt;width:199.5pt;height:153pt;z-index:251672576" coordsize="25336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239;top:10858;width:514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1015" w:rsidRPr="00F01015" w:rsidRDefault="00F01015" w:rsidP="00F01015">
                        <w:pPr>
                          <w:spacing w:after="0"/>
                          <w:ind w:firstLine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Pipe 3</w:t>
                        </w:r>
                      </w:p>
                    </w:txbxContent>
                  </v:textbox>
                </v:shape>
                <v:group id="Group 14" o:spid="_x0000_s1028" style="position:absolute;width:25336;height:19431" coordsize="25336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_x0000_s1029" type="#_x0000_t202" style="position:absolute;top:16002;width:92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F01015" w:rsidRPr="00F01015" w:rsidRDefault="00F01015" w:rsidP="00F01015">
                          <w:pPr>
                            <w:spacing w:after="0"/>
                            <w:ind w:firstLine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F0101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Pipe 1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(top)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>Pipe 2 (bot)</w:t>
                          </w:r>
                        </w:p>
                      </w:txbxContent>
                    </v:textbox>
                  </v:shape>
                  <v:shape id="_x0000_s1030" type="#_x0000_t202" style="position:absolute;left:20193;top:3524;width:514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F01015" w:rsidRPr="00F01015" w:rsidRDefault="00F01015" w:rsidP="00F01015">
                          <w:pPr>
                            <w:spacing w:after="0"/>
                            <w:ind w:firstLine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Pipe </w:t>
                          </w:r>
                          <w:r w:rsidR="00C459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1" type="#_x0000_t202" style="position:absolute;left:11144;width:514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F01015" w:rsidRPr="00F01015" w:rsidRDefault="00F01015" w:rsidP="00F01015">
                          <w:pPr>
                            <w:spacing w:after="0"/>
                            <w:ind w:firstLine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Pipe </w:t>
                          </w:r>
                          <w:r w:rsidR="00C459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010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BF5BB" wp14:editId="1E9EBCE2">
                <wp:simplePos x="0" y="0"/>
                <wp:positionH relativeFrom="column">
                  <wp:posOffset>3429000</wp:posOffset>
                </wp:positionH>
                <wp:positionV relativeFrom="paragraph">
                  <wp:posOffset>1419225</wp:posOffset>
                </wp:positionV>
                <wp:extent cx="361950" cy="1524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15" w:rsidRPr="00F01015" w:rsidRDefault="00F01015" w:rsidP="00F01015">
                            <w:pPr>
                              <w:spacing w:after="0"/>
                              <w:ind w:firstLine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6F69949" wp14:editId="3D6329C9">
                                  <wp:extent cx="170180" cy="85090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70pt;margin-top:111.75pt;width:28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" fillcolor="white [3212]" stroked="f">
                <v:textbox>
                  <w:txbxContent>
                    <w:p w:rsidR="00F01015" w:rsidRPr="00F01015" w:rsidRDefault="00F01015" w:rsidP="00F01015">
                      <w:pPr>
                        <w:spacing w:after="0"/>
                        <w:ind w:firstLine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6F69949" wp14:editId="3D6329C9">
                            <wp:extent cx="170180" cy="85090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0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0FB8C" wp14:editId="687F14B4">
                <wp:simplePos x="0" y="0"/>
                <wp:positionH relativeFrom="column">
                  <wp:posOffset>2524125</wp:posOffset>
                </wp:positionH>
                <wp:positionV relativeFrom="paragraph">
                  <wp:posOffset>1057275</wp:posOffset>
                </wp:positionV>
                <wp:extent cx="361950" cy="152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15" w:rsidRPr="00F01015" w:rsidRDefault="00F01015" w:rsidP="00F01015">
                            <w:pPr>
                              <w:spacing w:after="0"/>
                              <w:ind w:firstLine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4DF76B" wp14:editId="7019A7F9">
                                  <wp:extent cx="170180" cy="85090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8.75pt;margin-top:83.25pt;width:28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" fillcolor="white [3212]" stroked="f">
                <v:textbox>
                  <w:txbxContent>
                    <w:p w:rsidR="00F01015" w:rsidRPr="00F01015" w:rsidRDefault="00F01015" w:rsidP="00F01015">
                      <w:pPr>
                        <w:spacing w:after="0"/>
                        <w:ind w:firstLine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4DF76B" wp14:editId="7019A7F9">
                            <wp:extent cx="170180" cy="85090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13E">
        <w:rPr>
          <w:noProof/>
        </w:rPr>
        <w:drawing>
          <wp:inline distT="0" distB="0" distL="0" distR="0" wp14:anchorId="2A18C707" wp14:editId="13981DBF">
            <wp:extent cx="2732509" cy="3610935"/>
            <wp:effectExtent l="0" t="952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1770" cy="36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</w:t>
      </w:r>
    </w:p>
    <w:p w:rsidR="00261F92" w:rsidRDefault="00261F92" w:rsidP="0016076D">
      <w:pPr>
        <w:ind w:left="720" w:firstLine="0"/>
      </w:pPr>
    </w:p>
    <w:p w:rsidR="00B008EC" w:rsidRDefault="00B008EC" w:rsidP="0016076D">
      <w:pPr>
        <w:ind w:left="720" w:firstLine="0"/>
      </w:pPr>
      <w:r>
        <w:rPr>
          <w:noProof/>
        </w:rPr>
        <w:drawing>
          <wp:inline distT="0" distB="0" distL="0" distR="0" wp14:anchorId="51D8B440" wp14:editId="56D7F90E">
            <wp:extent cx="4171950" cy="28670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08EC" w:rsidRDefault="00B008EC" w:rsidP="0016076D">
      <w:pPr>
        <w:ind w:left="720" w:firstLine="0"/>
      </w:pPr>
    </w:p>
    <w:p w:rsidR="00B008EC" w:rsidRDefault="006C4BDE" w:rsidP="00B008EC">
      <w:pPr>
        <w:pStyle w:val="ListParagraph"/>
        <w:numPr>
          <w:ilvl w:val="0"/>
          <w:numId w:val="2"/>
        </w:numPr>
        <w:contextualSpacing w:val="0"/>
      </w:pPr>
      <w:r>
        <w:t>Using the elevation of the suction to the pumps as the datum, d</w:t>
      </w:r>
      <w:r w:rsidR="00B5779E">
        <w:t>evelop modified pump curves for Pumps A and B</w:t>
      </w:r>
      <w:r>
        <w:t>. These modified curves should show, for each pump, the head at the end of the 400</w:t>
      </w:r>
      <w:r w:rsidR="000A1E95">
        <w:noBreakHyphen/>
      </w:r>
      <w:r>
        <w:t>ft line as a function of the flow rate through the pump</w:t>
      </w:r>
      <w:r w:rsidR="00DB3222">
        <w:t xml:space="preserve"> and the corresponding pipe</w:t>
      </w:r>
      <w:r>
        <w:t xml:space="preserve">. </w:t>
      </w:r>
      <w:r w:rsidR="006B7888">
        <w:t xml:space="preserve">Show </w:t>
      </w:r>
      <w:r w:rsidR="00B008EC">
        <w:t xml:space="preserve">the modified curves </w:t>
      </w:r>
      <w:r w:rsidR="006B7888">
        <w:t xml:space="preserve">on </w:t>
      </w:r>
      <w:r w:rsidR="00B008EC">
        <w:t xml:space="preserve">a copy of the </w:t>
      </w:r>
      <w:r w:rsidR="006B7888">
        <w:t>given plot.</w:t>
      </w:r>
    </w:p>
    <w:p w:rsidR="00B5779E" w:rsidRDefault="006C4BDE" w:rsidP="00B008EC">
      <w:pPr>
        <w:ind w:left="1080" w:firstLine="0"/>
      </w:pPr>
      <w:r>
        <w:t>The</w:t>
      </w:r>
      <w:r w:rsidR="00B008EC">
        <w:t>se</w:t>
      </w:r>
      <w:r>
        <w:t xml:space="preserve"> modified curves are convenient for this analysis, because they characterize the parts of the system where the water that passes through Pump A experiences different conditions from the water that passes through Pump B; downstream of the point characterized by these pump curves, the flow that has passed through Pump A is indistinguishable from the flow that has passed through Pump B.</w:t>
      </w:r>
    </w:p>
    <w:p w:rsidR="006C4BDE" w:rsidRDefault="00DB3222" w:rsidP="00B008EC">
      <w:pPr>
        <w:pStyle w:val="ListParagraph"/>
        <w:numPr>
          <w:ilvl w:val="0"/>
          <w:numId w:val="2"/>
        </w:numPr>
        <w:contextualSpacing w:val="0"/>
      </w:pPr>
      <w:r>
        <w:t>On the plot, d</w:t>
      </w:r>
      <w:r w:rsidR="00B008EC">
        <w:t xml:space="preserve">raw a curve that represents </w:t>
      </w:r>
      <w:r>
        <w:t xml:space="preserve">the modified </w:t>
      </w:r>
      <w:r w:rsidR="00B008EC">
        <w:t>head vs. discharge for the combination of Pumps A and B.</w:t>
      </w:r>
    </w:p>
    <w:p w:rsidR="00B008EC" w:rsidRDefault="00B008EC" w:rsidP="00B008EC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Draw the </w:t>
      </w:r>
      <w:r w:rsidR="00DB3222">
        <w:t xml:space="preserve">modified </w:t>
      </w:r>
      <w:r>
        <w:t>system curve on the plot and determine the total discharge to reservoir 2 when both pumps are operating.</w:t>
      </w:r>
    </w:p>
    <w:p w:rsidR="00B008EC" w:rsidRDefault="00B008EC" w:rsidP="00B008EC">
      <w:pPr>
        <w:pStyle w:val="ListParagraph"/>
        <w:numPr>
          <w:ilvl w:val="0"/>
          <w:numId w:val="2"/>
        </w:numPr>
        <w:contextualSpacing w:val="0"/>
      </w:pPr>
      <w:bookmarkStart w:id="0" w:name="_GoBack"/>
      <w:bookmarkEnd w:id="0"/>
      <w:r>
        <w:t xml:space="preserve">What fraction of the total discharge to reservoir 2 passes through </w:t>
      </w:r>
      <w:r w:rsidR="000A1E95">
        <w:t>Pipe 4</w:t>
      </w:r>
      <w:r>
        <w:t>?</w:t>
      </w:r>
    </w:p>
    <w:sectPr w:rsidR="00B008EC" w:rsidSect="00AE413E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85" w:rsidRDefault="00336885" w:rsidP="00AE413E">
      <w:pPr>
        <w:spacing w:after="0"/>
      </w:pPr>
      <w:r>
        <w:separator/>
      </w:r>
    </w:p>
  </w:endnote>
  <w:endnote w:type="continuationSeparator" w:id="0">
    <w:p w:rsidR="00336885" w:rsidRDefault="00336885" w:rsidP="00AE4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3E" w:rsidRDefault="00AE413E" w:rsidP="008935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13E" w:rsidRDefault="00AE413E" w:rsidP="00AE41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3E" w:rsidRDefault="00AE413E" w:rsidP="008935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27C">
      <w:rPr>
        <w:rStyle w:val="PageNumber"/>
        <w:noProof/>
      </w:rPr>
      <w:t>3</w:t>
    </w:r>
    <w:r>
      <w:rPr>
        <w:rStyle w:val="PageNumber"/>
      </w:rPr>
      <w:fldChar w:fldCharType="end"/>
    </w:r>
  </w:p>
  <w:p w:rsidR="00AE413E" w:rsidRDefault="00AE413E" w:rsidP="00AE41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85" w:rsidRDefault="00336885" w:rsidP="00AE413E">
      <w:pPr>
        <w:spacing w:after="0"/>
      </w:pPr>
      <w:r>
        <w:separator/>
      </w:r>
    </w:p>
  </w:footnote>
  <w:footnote w:type="continuationSeparator" w:id="0">
    <w:p w:rsidR="00336885" w:rsidRDefault="00336885" w:rsidP="00AE41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70C9"/>
    <w:multiLevelType w:val="hybridMultilevel"/>
    <w:tmpl w:val="21C6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A0F55"/>
    <w:multiLevelType w:val="hybridMultilevel"/>
    <w:tmpl w:val="37507884"/>
    <w:lvl w:ilvl="0" w:tplc="74B009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4D7F3A6-E758-44D5-9955-8DEF6B7B52C9}"/>
    <w:docVar w:name="dgnword-eventsink" w:val="28727736"/>
  </w:docVars>
  <w:rsids>
    <w:rsidRoot w:val="005A15E5"/>
    <w:rsid w:val="00010890"/>
    <w:rsid w:val="000137B4"/>
    <w:rsid w:val="00015D6D"/>
    <w:rsid w:val="00016A79"/>
    <w:rsid w:val="00017C5C"/>
    <w:rsid w:val="00023BC3"/>
    <w:rsid w:val="00026B8A"/>
    <w:rsid w:val="00034399"/>
    <w:rsid w:val="00037391"/>
    <w:rsid w:val="00037965"/>
    <w:rsid w:val="00043694"/>
    <w:rsid w:val="00044C31"/>
    <w:rsid w:val="000451E3"/>
    <w:rsid w:val="000477AF"/>
    <w:rsid w:val="00053651"/>
    <w:rsid w:val="00063F80"/>
    <w:rsid w:val="00072369"/>
    <w:rsid w:val="0007309A"/>
    <w:rsid w:val="00075614"/>
    <w:rsid w:val="000808AE"/>
    <w:rsid w:val="00081029"/>
    <w:rsid w:val="00081B92"/>
    <w:rsid w:val="00084B4A"/>
    <w:rsid w:val="0008748F"/>
    <w:rsid w:val="00092E91"/>
    <w:rsid w:val="00097AE6"/>
    <w:rsid w:val="000A1404"/>
    <w:rsid w:val="000A1E95"/>
    <w:rsid w:val="000A7174"/>
    <w:rsid w:val="000D20BE"/>
    <w:rsid w:val="000D7120"/>
    <w:rsid w:val="000D77B2"/>
    <w:rsid w:val="000E110F"/>
    <w:rsid w:val="000E58B4"/>
    <w:rsid w:val="000F116A"/>
    <w:rsid w:val="000F1F5C"/>
    <w:rsid w:val="0010060F"/>
    <w:rsid w:val="001046AD"/>
    <w:rsid w:val="0011058A"/>
    <w:rsid w:val="00114647"/>
    <w:rsid w:val="00115FCA"/>
    <w:rsid w:val="00116CCF"/>
    <w:rsid w:val="00124C41"/>
    <w:rsid w:val="0013185D"/>
    <w:rsid w:val="00131C27"/>
    <w:rsid w:val="00132319"/>
    <w:rsid w:val="00134AB7"/>
    <w:rsid w:val="001350AC"/>
    <w:rsid w:val="00136432"/>
    <w:rsid w:val="0014201C"/>
    <w:rsid w:val="00142050"/>
    <w:rsid w:val="00150C3C"/>
    <w:rsid w:val="00153CE7"/>
    <w:rsid w:val="0016076D"/>
    <w:rsid w:val="00161B82"/>
    <w:rsid w:val="001642AE"/>
    <w:rsid w:val="00165B2F"/>
    <w:rsid w:val="00166745"/>
    <w:rsid w:val="001675D4"/>
    <w:rsid w:val="00176825"/>
    <w:rsid w:val="001776CA"/>
    <w:rsid w:val="0018137F"/>
    <w:rsid w:val="00185DBA"/>
    <w:rsid w:val="0018651B"/>
    <w:rsid w:val="00193D1E"/>
    <w:rsid w:val="00194E10"/>
    <w:rsid w:val="00196484"/>
    <w:rsid w:val="00196C5B"/>
    <w:rsid w:val="00197367"/>
    <w:rsid w:val="001A5EEE"/>
    <w:rsid w:val="001A75FF"/>
    <w:rsid w:val="001B21DB"/>
    <w:rsid w:val="001B29B6"/>
    <w:rsid w:val="001B4BB0"/>
    <w:rsid w:val="001B70DA"/>
    <w:rsid w:val="001B7625"/>
    <w:rsid w:val="001C0566"/>
    <w:rsid w:val="001C39AF"/>
    <w:rsid w:val="001C7B60"/>
    <w:rsid w:val="001D6C24"/>
    <w:rsid w:val="001E775E"/>
    <w:rsid w:val="001F041A"/>
    <w:rsid w:val="001F3BE4"/>
    <w:rsid w:val="001F5BFA"/>
    <w:rsid w:val="00200077"/>
    <w:rsid w:val="00204068"/>
    <w:rsid w:val="002052CD"/>
    <w:rsid w:val="00207853"/>
    <w:rsid w:val="0021554B"/>
    <w:rsid w:val="00216D86"/>
    <w:rsid w:val="00226956"/>
    <w:rsid w:val="00236ABD"/>
    <w:rsid w:val="00237ECB"/>
    <w:rsid w:val="00251679"/>
    <w:rsid w:val="00251F34"/>
    <w:rsid w:val="00252E4F"/>
    <w:rsid w:val="00253957"/>
    <w:rsid w:val="00255751"/>
    <w:rsid w:val="002613BA"/>
    <w:rsid w:val="00261E64"/>
    <w:rsid w:val="00261F92"/>
    <w:rsid w:val="0026283D"/>
    <w:rsid w:val="00276F9B"/>
    <w:rsid w:val="00277072"/>
    <w:rsid w:val="0028242A"/>
    <w:rsid w:val="00294B6C"/>
    <w:rsid w:val="00297660"/>
    <w:rsid w:val="002A29AA"/>
    <w:rsid w:val="002B0112"/>
    <w:rsid w:val="002C0572"/>
    <w:rsid w:val="002C1B31"/>
    <w:rsid w:val="002D38AD"/>
    <w:rsid w:val="002D3AF2"/>
    <w:rsid w:val="002D3C92"/>
    <w:rsid w:val="002D5B57"/>
    <w:rsid w:val="002D759B"/>
    <w:rsid w:val="002E0649"/>
    <w:rsid w:val="002E249B"/>
    <w:rsid w:val="002E57C1"/>
    <w:rsid w:val="002F2707"/>
    <w:rsid w:val="002F2E68"/>
    <w:rsid w:val="00300B05"/>
    <w:rsid w:val="003026FF"/>
    <w:rsid w:val="00305B4F"/>
    <w:rsid w:val="00307C87"/>
    <w:rsid w:val="0031322D"/>
    <w:rsid w:val="0031754C"/>
    <w:rsid w:val="0031777E"/>
    <w:rsid w:val="00336885"/>
    <w:rsid w:val="0034268E"/>
    <w:rsid w:val="00345626"/>
    <w:rsid w:val="0035720F"/>
    <w:rsid w:val="00357E99"/>
    <w:rsid w:val="00357FA0"/>
    <w:rsid w:val="0036339C"/>
    <w:rsid w:val="003728F0"/>
    <w:rsid w:val="00373FC2"/>
    <w:rsid w:val="00375133"/>
    <w:rsid w:val="00377D51"/>
    <w:rsid w:val="00391A58"/>
    <w:rsid w:val="003975EB"/>
    <w:rsid w:val="003A2ECB"/>
    <w:rsid w:val="003A7376"/>
    <w:rsid w:val="003A7625"/>
    <w:rsid w:val="003B13DA"/>
    <w:rsid w:val="003B6F83"/>
    <w:rsid w:val="003B7764"/>
    <w:rsid w:val="003C3D32"/>
    <w:rsid w:val="003C72E8"/>
    <w:rsid w:val="003D47EA"/>
    <w:rsid w:val="003D605E"/>
    <w:rsid w:val="003E1514"/>
    <w:rsid w:val="003E7945"/>
    <w:rsid w:val="003F6DE6"/>
    <w:rsid w:val="00401A55"/>
    <w:rsid w:val="00402D7C"/>
    <w:rsid w:val="00402E9E"/>
    <w:rsid w:val="004047E1"/>
    <w:rsid w:val="00405B0E"/>
    <w:rsid w:val="00423A2F"/>
    <w:rsid w:val="00431AD1"/>
    <w:rsid w:val="00460518"/>
    <w:rsid w:val="00465293"/>
    <w:rsid w:val="0047138E"/>
    <w:rsid w:val="00474940"/>
    <w:rsid w:val="00474F4C"/>
    <w:rsid w:val="00477E51"/>
    <w:rsid w:val="00481583"/>
    <w:rsid w:val="004850F2"/>
    <w:rsid w:val="00487F41"/>
    <w:rsid w:val="004A0443"/>
    <w:rsid w:val="004A1B3F"/>
    <w:rsid w:val="004A366E"/>
    <w:rsid w:val="004A499B"/>
    <w:rsid w:val="004A50EA"/>
    <w:rsid w:val="004B271B"/>
    <w:rsid w:val="004B6F8F"/>
    <w:rsid w:val="004D1F4B"/>
    <w:rsid w:val="004D3D20"/>
    <w:rsid w:val="004E455A"/>
    <w:rsid w:val="004E4B75"/>
    <w:rsid w:val="004E5A19"/>
    <w:rsid w:val="004E6676"/>
    <w:rsid w:val="004F0114"/>
    <w:rsid w:val="004F1232"/>
    <w:rsid w:val="004F166D"/>
    <w:rsid w:val="004F3D1B"/>
    <w:rsid w:val="004F4E56"/>
    <w:rsid w:val="0050151B"/>
    <w:rsid w:val="00513146"/>
    <w:rsid w:val="005167C0"/>
    <w:rsid w:val="00520511"/>
    <w:rsid w:val="0052186F"/>
    <w:rsid w:val="00522FF7"/>
    <w:rsid w:val="00537F3A"/>
    <w:rsid w:val="00553E7D"/>
    <w:rsid w:val="00557ACD"/>
    <w:rsid w:val="0056332D"/>
    <w:rsid w:val="00564560"/>
    <w:rsid w:val="00573694"/>
    <w:rsid w:val="00581D9F"/>
    <w:rsid w:val="00592352"/>
    <w:rsid w:val="00593F5B"/>
    <w:rsid w:val="005955AA"/>
    <w:rsid w:val="005A0476"/>
    <w:rsid w:val="005A15E5"/>
    <w:rsid w:val="005A765D"/>
    <w:rsid w:val="005B087D"/>
    <w:rsid w:val="005D5BAE"/>
    <w:rsid w:val="005D6999"/>
    <w:rsid w:val="005F29BE"/>
    <w:rsid w:val="005F351C"/>
    <w:rsid w:val="005F419E"/>
    <w:rsid w:val="005F5CAB"/>
    <w:rsid w:val="0060395C"/>
    <w:rsid w:val="0060744C"/>
    <w:rsid w:val="006256AC"/>
    <w:rsid w:val="0062710A"/>
    <w:rsid w:val="00633851"/>
    <w:rsid w:val="00637A97"/>
    <w:rsid w:val="00640C5B"/>
    <w:rsid w:val="0064698B"/>
    <w:rsid w:val="00647958"/>
    <w:rsid w:val="006479C2"/>
    <w:rsid w:val="0065136A"/>
    <w:rsid w:val="0066560B"/>
    <w:rsid w:val="006708A2"/>
    <w:rsid w:val="00670F58"/>
    <w:rsid w:val="006731E3"/>
    <w:rsid w:val="006756E6"/>
    <w:rsid w:val="00677965"/>
    <w:rsid w:val="00681700"/>
    <w:rsid w:val="006942D5"/>
    <w:rsid w:val="00695D81"/>
    <w:rsid w:val="006A104C"/>
    <w:rsid w:val="006A7E14"/>
    <w:rsid w:val="006B4ECF"/>
    <w:rsid w:val="006B522D"/>
    <w:rsid w:val="006B57B1"/>
    <w:rsid w:val="006B5DE4"/>
    <w:rsid w:val="006B7888"/>
    <w:rsid w:val="006C4BDE"/>
    <w:rsid w:val="006C7FEE"/>
    <w:rsid w:val="006E14D4"/>
    <w:rsid w:val="006E1541"/>
    <w:rsid w:val="006F1503"/>
    <w:rsid w:val="006F3E24"/>
    <w:rsid w:val="006F6930"/>
    <w:rsid w:val="007030FB"/>
    <w:rsid w:val="0070481D"/>
    <w:rsid w:val="0071007C"/>
    <w:rsid w:val="0071595E"/>
    <w:rsid w:val="00715E80"/>
    <w:rsid w:val="00723BB5"/>
    <w:rsid w:val="007338A2"/>
    <w:rsid w:val="00746EF9"/>
    <w:rsid w:val="007563CF"/>
    <w:rsid w:val="00761E42"/>
    <w:rsid w:val="00766075"/>
    <w:rsid w:val="0077563D"/>
    <w:rsid w:val="00780671"/>
    <w:rsid w:val="0078469F"/>
    <w:rsid w:val="007868D6"/>
    <w:rsid w:val="00794386"/>
    <w:rsid w:val="007A0725"/>
    <w:rsid w:val="007A69A1"/>
    <w:rsid w:val="007B1A38"/>
    <w:rsid w:val="007E1FBA"/>
    <w:rsid w:val="007F03D3"/>
    <w:rsid w:val="007F10CF"/>
    <w:rsid w:val="007F1AFF"/>
    <w:rsid w:val="007F474C"/>
    <w:rsid w:val="008038E7"/>
    <w:rsid w:val="008062B4"/>
    <w:rsid w:val="00810E59"/>
    <w:rsid w:val="008116D2"/>
    <w:rsid w:val="00816897"/>
    <w:rsid w:val="00817DF7"/>
    <w:rsid w:val="00822C08"/>
    <w:rsid w:val="008272E4"/>
    <w:rsid w:val="0083038D"/>
    <w:rsid w:val="00832C51"/>
    <w:rsid w:val="0084027F"/>
    <w:rsid w:val="008417B0"/>
    <w:rsid w:val="00850153"/>
    <w:rsid w:val="00861867"/>
    <w:rsid w:val="00871B3C"/>
    <w:rsid w:val="0088183E"/>
    <w:rsid w:val="00882062"/>
    <w:rsid w:val="00882244"/>
    <w:rsid w:val="00887C61"/>
    <w:rsid w:val="0089301B"/>
    <w:rsid w:val="00896E25"/>
    <w:rsid w:val="008A0D74"/>
    <w:rsid w:val="008A1053"/>
    <w:rsid w:val="008A381A"/>
    <w:rsid w:val="008A4A46"/>
    <w:rsid w:val="008A6ED2"/>
    <w:rsid w:val="008B4F7E"/>
    <w:rsid w:val="008C04FC"/>
    <w:rsid w:val="008C23ED"/>
    <w:rsid w:val="008C62F1"/>
    <w:rsid w:val="008D09D0"/>
    <w:rsid w:val="008D5D30"/>
    <w:rsid w:val="008E4C23"/>
    <w:rsid w:val="008E6A85"/>
    <w:rsid w:val="008E7BBA"/>
    <w:rsid w:val="008F001A"/>
    <w:rsid w:val="008F2B64"/>
    <w:rsid w:val="008F34C9"/>
    <w:rsid w:val="008F3783"/>
    <w:rsid w:val="00900B99"/>
    <w:rsid w:val="00903C82"/>
    <w:rsid w:val="009047FB"/>
    <w:rsid w:val="00906BA1"/>
    <w:rsid w:val="00907C15"/>
    <w:rsid w:val="009109D3"/>
    <w:rsid w:val="009135A2"/>
    <w:rsid w:val="00914E9E"/>
    <w:rsid w:val="00915E2D"/>
    <w:rsid w:val="00920778"/>
    <w:rsid w:val="009209BE"/>
    <w:rsid w:val="00921340"/>
    <w:rsid w:val="00927A59"/>
    <w:rsid w:val="009301A9"/>
    <w:rsid w:val="00940018"/>
    <w:rsid w:val="0094105C"/>
    <w:rsid w:val="009454FD"/>
    <w:rsid w:val="009509C4"/>
    <w:rsid w:val="00954DC4"/>
    <w:rsid w:val="00957413"/>
    <w:rsid w:val="0096209D"/>
    <w:rsid w:val="00964C3F"/>
    <w:rsid w:val="00966120"/>
    <w:rsid w:val="00966736"/>
    <w:rsid w:val="00970683"/>
    <w:rsid w:val="009740F3"/>
    <w:rsid w:val="00981035"/>
    <w:rsid w:val="00981AD3"/>
    <w:rsid w:val="009822BC"/>
    <w:rsid w:val="00983326"/>
    <w:rsid w:val="00985392"/>
    <w:rsid w:val="009926D7"/>
    <w:rsid w:val="00994D41"/>
    <w:rsid w:val="00995B84"/>
    <w:rsid w:val="009960C8"/>
    <w:rsid w:val="00997AC8"/>
    <w:rsid w:val="009A12D0"/>
    <w:rsid w:val="009A222D"/>
    <w:rsid w:val="009B7BCF"/>
    <w:rsid w:val="009C27A5"/>
    <w:rsid w:val="009C42D8"/>
    <w:rsid w:val="009C4735"/>
    <w:rsid w:val="009C664A"/>
    <w:rsid w:val="009D5D94"/>
    <w:rsid w:val="009D640B"/>
    <w:rsid w:val="009D6C98"/>
    <w:rsid w:val="009E4565"/>
    <w:rsid w:val="009E5469"/>
    <w:rsid w:val="009E5B1E"/>
    <w:rsid w:val="009F078A"/>
    <w:rsid w:val="009F0A68"/>
    <w:rsid w:val="009F5B3A"/>
    <w:rsid w:val="00A0014F"/>
    <w:rsid w:val="00A00850"/>
    <w:rsid w:val="00A03DCE"/>
    <w:rsid w:val="00A03F3A"/>
    <w:rsid w:val="00A053A8"/>
    <w:rsid w:val="00A059CE"/>
    <w:rsid w:val="00A10B25"/>
    <w:rsid w:val="00A11C22"/>
    <w:rsid w:val="00A213E6"/>
    <w:rsid w:val="00A27E37"/>
    <w:rsid w:val="00A31B6B"/>
    <w:rsid w:val="00A32CB2"/>
    <w:rsid w:val="00A33690"/>
    <w:rsid w:val="00A41980"/>
    <w:rsid w:val="00A4200E"/>
    <w:rsid w:val="00A45E01"/>
    <w:rsid w:val="00A46A15"/>
    <w:rsid w:val="00A46BE5"/>
    <w:rsid w:val="00A55C6F"/>
    <w:rsid w:val="00A57302"/>
    <w:rsid w:val="00A65380"/>
    <w:rsid w:val="00A7163F"/>
    <w:rsid w:val="00A827AD"/>
    <w:rsid w:val="00A849F5"/>
    <w:rsid w:val="00A86A57"/>
    <w:rsid w:val="00A87CB5"/>
    <w:rsid w:val="00AA3CF6"/>
    <w:rsid w:val="00AA4149"/>
    <w:rsid w:val="00AB7543"/>
    <w:rsid w:val="00AB7CBD"/>
    <w:rsid w:val="00AC1F2A"/>
    <w:rsid w:val="00AC2494"/>
    <w:rsid w:val="00AC2593"/>
    <w:rsid w:val="00AC4479"/>
    <w:rsid w:val="00AD191D"/>
    <w:rsid w:val="00AD5713"/>
    <w:rsid w:val="00AD6F99"/>
    <w:rsid w:val="00AD7B14"/>
    <w:rsid w:val="00AE2399"/>
    <w:rsid w:val="00AE413E"/>
    <w:rsid w:val="00AF2EB9"/>
    <w:rsid w:val="00AF6E60"/>
    <w:rsid w:val="00B008EC"/>
    <w:rsid w:val="00B05D6F"/>
    <w:rsid w:val="00B07DEC"/>
    <w:rsid w:val="00B101DF"/>
    <w:rsid w:val="00B104F3"/>
    <w:rsid w:val="00B130D9"/>
    <w:rsid w:val="00B13CF7"/>
    <w:rsid w:val="00B163EF"/>
    <w:rsid w:val="00B169E0"/>
    <w:rsid w:val="00B33DFA"/>
    <w:rsid w:val="00B44635"/>
    <w:rsid w:val="00B514C6"/>
    <w:rsid w:val="00B54649"/>
    <w:rsid w:val="00B57204"/>
    <w:rsid w:val="00B5779E"/>
    <w:rsid w:val="00B632DB"/>
    <w:rsid w:val="00B6370D"/>
    <w:rsid w:val="00B70A5F"/>
    <w:rsid w:val="00B72F3C"/>
    <w:rsid w:val="00B914B2"/>
    <w:rsid w:val="00B919D8"/>
    <w:rsid w:val="00B92FB8"/>
    <w:rsid w:val="00BA6667"/>
    <w:rsid w:val="00BB6870"/>
    <w:rsid w:val="00BB7EAA"/>
    <w:rsid w:val="00BC0C70"/>
    <w:rsid w:val="00BC26B3"/>
    <w:rsid w:val="00BC352F"/>
    <w:rsid w:val="00BC79DD"/>
    <w:rsid w:val="00BD38CC"/>
    <w:rsid w:val="00BF4B58"/>
    <w:rsid w:val="00BF52F2"/>
    <w:rsid w:val="00BF6521"/>
    <w:rsid w:val="00C04C13"/>
    <w:rsid w:val="00C1152B"/>
    <w:rsid w:val="00C15CC5"/>
    <w:rsid w:val="00C16895"/>
    <w:rsid w:val="00C16D90"/>
    <w:rsid w:val="00C16DEC"/>
    <w:rsid w:val="00C20926"/>
    <w:rsid w:val="00C312BD"/>
    <w:rsid w:val="00C35B31"/>
    <w:rsid w:val="00C36843"/>
    <w:rsid w:val="00C37096"/>
    <w:rsid w:val="00C40BBC"/>
    <w:rsid w:val="00C459D9"/>
    <w:rsid w:val="00C56A63"/>
    <w:rsid w:val="00C62EFE"/>
    <w:rsid w:val="00C656B7"/>
    <w:rsid w:val="00C70891"/>
    <w:rsid w:val="00C72661"/>
    <w:rsid w:val="00C7677B"/>
    <w:rsid w:val="00C90AF1"/>
    <w:rsid w:val="00C90F6A"/>
    <w:rsid w:val="00CA009B"/>
    <w:rsid w:val="00CA1BF1"/>
    <w:rsid w:val="00CA63AD"/>
    <w:rsid w:val="00CB781B"/>
    <w:rsid w:val="00CC00E7"/>
    <w:rsid w:val="00CC32B8"/>
    <w:rsid w:val="00CC430C"/>
    <w:rsid w:val="00CC4C7B"/>
    <w:rsid w:val="00CC7F35"/>
    <w:rsid w:val="00CD2B54"/>
    <w:rsid w:val="00CE38F4"/>
    <w:rsid w:val="00CF1935"/>
    <w:rsid w:val="00CF36FD"/>
    <w:rsid w:val="00CF46A0"/>
    <w:rsid w:val="00D0144C"/>
    <w:rsid w:val="00D01661"/>
    <w:rsid w:val="00D0440B"/>
    <w:rsid w:val="00D04EC7"/>
    <w:rsid w:val="00D06E26"/>
    <w:rsid w:val="00D124E3"/>
    <w:rsid w:val="00D1538F"/>
    <w:rsid w:val="00D1745F"/>
    <w:rsid w:val="00D247B1"/>
    <w:rsid w:val="00D24FA4"/>
    <w:rsid w:val="00D335A4"/>
    <w:rsid w:val="00D408CF"/>
    <w:rsid w:val="00D43FCD"/>
    <w:rsid w:val="00D45646"/>
    <w:rsid w:val="00D45C22"/>
    <w:rsid w:val="00D533E1"/>
    <w:rsid w:val="00D57356"/>
    <w:rsid w:val="00D60208"/>
    <w:rsid w:val="00D61988"/>
    <w:rsid w:val="00D67E6D"/>
    <w:rsid w:val="00D7165F"/>
    <w:rsid w:val="00D8362A"/>
    <w:rsid w:val="00D8607C"/>
    <w:rsid w:val="00D86445"/>
    <w:rsid w:val="00D96906"/>
    <w:rsid w:val="00D97C3C"/>
    <w:rsid w:val="00DA4379"/>
    <w:rsid w:val="00DA6EAE"/>
    <w:rsid w:val="00DB095D"/>
    <w:rsid w:val="00DB3222"/>
    <w:rsid w:val="00DC145B"/>
    <w:rsid w:val="00DD0F17"/>
    <w:rsid w:val="00DD2D6B"/>
    <w:rsid w:val="00DD33E3"/>
    <w:rsid w:val="00DD3B54"/>
    <w:rsid w:val="00DE185C"/>
    <w:rsid w:val="00DE1BF8"/>
    <w:rsid w:val="00DE3CA0"/>
    <w:rsid w:val="00DE3D1C"/>
    <w:rsid w:val="00DF0F9F"/>
    <w:rsid w:val="00DF409F"/>
    <w:rsid w:val="00DF627C"/>
    <w:rsid w:val="00E00D80"/>
    <w:rsid w:val="00E02F56"/>
    <w:rsid w:val="00E0472B"/>
    <w:rsid w:val="00E05DBD"/>
    <w:rsid w:val="00E071C4"/>
    <w:rsid w:val="00E15566"/>
    <w:rsid w:val="00E17329"/>
    <w:rsid w:val="00E17EF7"/>
    <w:rsid w:val="00E206DB"/>
    <w:rsid w:val="00E21367"/>
    <w:rsid w:val="00E234F7"/>
    <w:rsid w:val="00E26A77"/>
    <w:rsid w:val="00E30C34"/>
    <w:rsid w:val="00E42F10"/>
    <w:rsid w:val="00E50E68"/>
    <w:rsid w:val="00E516F5"/>
    <w:rsid w:val="00E53B5F"/>
    <w:rsid w:val="00E626DE"/>
    <w:rsid w:val="00E65374"/>
    <w:rsid w:val="00E73DE0"/>
    <w:rsid w:val="00E855AD"/>
    <w:rsid w:val="00E87E61"/>
    <w:rsid w:val="00E904E7"/>
    <w:rsid w:val="00E909C6"/>
    <w:rsid w:val="00E93587"/>
    <w:rsid w:val="00E937F9"/>
    <w:rsid w:val="00E967DD"/>
    <w:rsid w:val="00EA21AA"/>
    <w:rsid w:val="00EA3EE8"/>
    <w:rsid w:val="00EA615F"/>
    <w:rsid w:val="00EB2984"/>
    <w:rsid w:val="00EB693F"/>
    <w:rsid w:val="00EC4B60"/>
    <w:rsid w:val="00ED146A"/>
    <w:rsid w:val="00ED192E"/>
    <w:rsid w:val="00ED76E9"/>
    <w:rsid w:val="00EE1B47"/>
    <w:rsid w:val="00EF305A"/>
    <w:rsid w:val="00EF65F7"/>
    <w:rsid w:val="00F01015"/>
    <w:rsid w:val="00F02703"/>
    <w:rsid w:val="00F10486"/>
    <w:rsid w:val="00F15A1B"/>
    <w:rsid w:val="00F1723F"/>
    <w:rsid w:val="00F204F1"/>
    <w:rsid w:val="00F20559"/>
    <w:rsid w:val="00F2370D"/>
    <w:rsid w:val="00F311A4"/>
    <w:rsid w:val="00F33D73"/>
    <w:rsid w:val="00F34A03"/>
    <w:rsid w:val="00F44367"/>
    <w:rsid w:val="00F50F8E"/>
    <w:rsid w:val="00F52102"/>
    <w:rsid w:val="00F64D22"/>
    <w:rsid w:val="00F64EA6"/>
    <w:rsid w:val="00F746B7"/>
    <w:rsid w:val="00F75DB5"/>
    <w:rsid w:val="00F84AD7"/>
    <w:rsid w:val="00F86CC8"/>
    <w:rsid w:val="00F94EED"/>
    <w:rsid w:val="00FA4BDA"/>
    <w:rsid w:val="00FA74BA"/>
    <w:rsid w:val="00FA759E"/>
    <w:rsid w:val="00FB1E96"/>
    <w:rsid w:val="00FB216E"/>
    <w:rsid w:val="00FB26B1"/>
    <w:rsid w:val="00FB3FE7"/>
    <w:rsid w:val="00FD2878"/>
    <w:rsid w:val="00FD3B07"/>
    <w:rsid w:val="00FD50EB"/>
    <w:rsid w:val="00FE0261"/>
    <w:rsid w:val="00FE0FFD"/>
    <w:rsid w:val="00FE6E41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firstLine="360"/>
    </w:pPr>
  </w:style>
  <w:style w:type="paragraph" w:styleId="Heading1">
    <w:name w:val="heading 1"/>
    <w:basedOn w:val="Normal"/>
    <w:next w:val="Normal"/>
    <w:qFormat/>
    <w:pPr>
      <w:keepNext/>
      <w:spacing w:before="240"/>
      <w:ind w:firstLine="0"/>
      <w:outlineLvl w:val="0"/>
    </w:pPr>
    <w:rPr>
      <w:rFonts w:ascii="Univers (W1)" w:hAnsi="Univers (W1)"/>
      <w:b/>
      <w:bCs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/>
      <w:ind w:left="360" w:firstLine="0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Indent"/>
    <w:qFormat/>
    <w:pPr>
      <w:keepNext/>
      <w:ind w:left="360" w:firstLine="0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pPr>
      <w:ind w:left="360" w:firstLine="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 w:firstLine="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Indent"/>
    <w:qFormat/>
    <w:pPr>
      <w:ind w:left="720" w:firstLine="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 w:firstLine="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space">
    <w:name w:val="no indent no space"/>
    <w:basedOn w:val="noindent"/>
    <w:pPr>
      <w:keepNext/>
      <w:tabs>
        <w:tab w:val="clear" w:pos="6480"/>
      </w:tabs>
      <w:spacing w:after="0"/>
    </w:pPr>
  </w:style>
  <w:style w:type="paragraph" w:customStyle="1" w:styleId="noindent">
    <w:name w:val="no indent"/>
    <w:basedOn w:val="Normal"/>
    <w:pPr>
      <w:tabs>
        <w:tab w:val="left" w:pos="6480"/>
      </w:tabs>
      <w:ind w:firstLine="0"/>
    </w:pPr>
  </w:style>
  <w:style w:type="paragraph" w:customStyle="1" w:styleId="Noindent0">
    <w:name w:val="No indent"/>
    <w:basedOn w:val="Normal"/>
    <w:pPr>
      <w:ind w:firstLine="0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5A15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53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6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E41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E413E"/>
  </w:style>
  <w:style w:type="character" w:styleId="PageNumber">
    <w:name w:val="page number"/>
    <w:basedOn w:val="DefaultParagraphFont"/>
    <w:rsid w:val="00AE4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firstLine="360"/>
    </w:pPr>
  </w:style>
  <w:style w:type="paragraph" w:styleId="Heading1">
    <w:name w:val="heading 1"/>
    <w:basedOn w:val="Normal"/>
    <w:next w:val="Normal"/>
    <w:qFormat/>
    <w:pPr>
      <w:keepNext/>
      <w:spacing w:before="240"/>
      <w:ind w:firstLine="0"/>
      <w:outlineLvl w:val="0"/>
    </w:pPr>
    <w:rPr>
      <w:rFonts w:ascii="Univers (W1)" w:hAnsi="Univers (W1)"/>
      <w:b/>
      <w:bCs/>
      <w:cap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/>
      <w:ind w:left="360" w:firstLine="0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Indent"/>
    <w:qFormat/>
    <w:pPr>
      <w:keepNext/>
      <w:ind w:left="360" w:firstLine="0"/>
      <w:outlineLvl w:val="2"/>
    </w:pPr>
    <w:rPr>
      <w:b/>
      <w:bCs/>
    </w:rPr>
  </w:style>
  <w:style w:type="paragraph" w:styleId="Heading4">
    <w:name w:val="heading 4"/>
    <w:basedOn w:val="Normal"/>
    <w:next w:val="NormalIndent"/>
    <w:qFormat/>
    <w:pPr>
      <w:ind w:left="360" w:firstLine="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 w:firstLine="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Indent"/>
    <w:qFormat/>
    <w:pPr>
      <w:ind w:left="720" w:firstLine="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 w:firstLine="0"/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space">
    <w:name w:val="no indent no space"/>
    <w:basedOn w:val="noindent"/>
    <w:pPr>
      <w:keepNext/>
      <w:tabs>
        <w:tab w:val="clear" w:pos="6480"/>
      </w:tabs>
      <w:spacing w:after="0"/>
    </w:pPr>
  </w:style>
  <w:style w:type="paragraph" w:customStyle="1" w:styleId="noindent">
    <w:name w:val="no indent"/>
    <w:basedOn w:val="Normal"/>
    <w:pPr>
      <w:tabs>
        <w:tab w:val="left" w:pos="6480"/>
      </w:tabs>
      <w:ind w:firstLine="0"/>
    </w:pPr>
  </w:style>
  <w:style w:type="paragraph" w:customStyle="1" w:styleId="Noindent0">
    <w:name w:val="No indent"/>
    <w:basedOn w:val="Normal"/>
    <w:pPr>
      <w:ind w:firstLine="0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5A15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53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6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E41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E413E"/>
  </w:style>
  <w:style w:type="character" w:styleId="PageNumber">
    <w:name w:val="page number"/>
    <w:basedOn w:val="DefaultParagraphFont"/>
    <w:rsid w:val="00AE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AData\CLASNOTE\345\Mays_Examp_12-5-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73329018804157"/>
          <c:y val="3.9560002916302128E-2"/>
          <c:w val="0.79898512685914247"/>
          <c:h val="0.77629075435338024"/>
        </c:manualLayout>
      </c:layout>
      <c:scatterChart>
        <c:scatterStyle val="smoothMarker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Data!$B$4:$B$11</c:f>
              <c:numCache>
                <c:formatCode>General</c:formatCode>
                <c:ptCount val="8"/>
                <c:pt idx="0">
                  <c:v>0</c:v>
                </c:pt>
                <c:pt idx="1">
                  <c:v>250</c:v>
                </c:pt>
                <c:pt idx="2">
                  <c:v>500</c:v>
                </c:pt>
                <c:pt idx="3">
                  <c:v>750</c:v>
                </c:pt>
                <c:pt idx="4">
                  <c:v>1000</c:v>
                </c:pt>
                <c:pt idx="5">
                  <c:v>1250</c:v>
                </c:pt>
                <c:pt idx="6">
                  <c:v>1500</c:v>
                </c:pt>
                <c:pt idx="7">
                  <c:v>1750</c:v>
                </c:pt>
              </c:numCache>
            </c:numRef>
          </c:xVal>
          <c:yVal>
            <c:numRef>
              <c:f>Data!$C$4:$C$11</c:f>
              <c:numCache>
                <c:formatCode>General</c:formatCode>
                <c:ptCount val="8"/>
                <c:pt idx="0">
                  <c:v>225</c:v>
                </c:pt>
                <c:pt idx="1">
                  <c:v>222.5</c:v>
                </c:pt>
                <c:pt idx="2">
                  <c:v>220</c:v>
                </c:pt>
                <c:pt idx="3">
                  <c:v>216</c:v>
                </c:pt>
                <c:pt idx="4">
                  <c:v>210</c:v>
                </c:pt>
                <c:pt idx="5">
                  <c:v>201.5</c:v>
                </c:pt>
                <c:pt idx="6">
                  <c:v>191</c:v>
                </c:pt>
                <c:pt idx="7">
                  <c:v>178</c:v>
                </c:pt>
              </c:numCache>
            </c:numRef>
          </c:yVal>
          <c:smooth val="1"/>
        </c:ser>
        <c:ser>
          <c:idx val="1"/>
          <c:order val="1"/>
          <c:marker>
            <c:symbol val="none"/>
          </c:marker>
          <c:xVal>
            <c:numRef>
              <c:f>Data!$E$4:$E$11</c:f>
              <c:numCache>
                <c:formatCode>General</c:formatCode>
                <c:ptCount val="8"/>
                <c:pt idx="0">
                  <c:v>0</c:v>
                </c:pt>
                <c:pt idx="1">
                  <c:v>250</c:v>
                </c:pt>
                <c:pt idx="2">
                  <c:v>500</c:v>
                </c:pt>
                <c:pt idx="3">
                  <c:v>750</c:v>
                </c:pt>
                <c:pt idx="4">
                  <c:v>1000</c:v>
                </c:pt>
                <c:pt idx="5">
                  <c:v>1250</c:v>
                </c:pt>
                <c:pt idx="6">
                  <c:v>1500</c:v>
                </c:pt>
                <c:pt idx="7">
                  <c:v>1750</c:v>
                </c:pt>
              </c:numCache>
            </c:numRef>
          </c:xVal>
          <c:yVal>
            <c:numRef>
              <c:f>Data!$F$4:$F$11</c:f>
              <c:numCache>
                <c:formatCode>General</c:formatCode>
                <c:ptCount val="8"/>
                <c:pt idx="0">
                  <c:v>200</c:v>
                </c:pt>
                <c:pt idx="1">
                  <c:v>198</c:v>
                </c:pt>
                <c:pt idx="2">
                  <c:v>195</c:v>
                </c:pt>
                <c:pt idx="3">
                  <c:v>191</c:v>
                </c:pt>
                <c:pt idx="4">
                  <c:v>186</c:v>
                </c:pt>
                <c:pt idx="5">
                  <c:v>180</c:v>
                </c:pt>
                <c:pt idx="6">
                  <c:v>171</c:v>
                </c:pt>
                <c:pt idx="7">
                  <c:v>157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120512"/>
        <c:axId val="171155840"/>
      </c:scatterChart>
      <c:valAx>
        <c:axId val="171120512"/>
        <c:scaling>
          <c:orientation val="minMax"/>
          <c:max val="3000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Discharge, </a:t>
                </a:r>
                <a:r>
                  <a:rPr lang="en-US" i="1"/>
                  <a:t>Q</a:t>
                </a:r>
                <a:r>
                  <a:rPr lang="en-US"/>
                  <a:t> (gpm)</a:t>
                </a:r>
              </a:p>
            </c:rich>
          </c:tx>
          <c:layout>
            <c:manualLayout>
              <c:xMode val="edge"/>
              <c:yMode val="edge"/>
              <c:x val="0.41608624264432692"/>
              <c:y val="0.921816168327796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1155840"/>
        <c:crosses val="autoZero"/>
        <c:crossBetween val="midCat"/>
        <c:majorUnit val="500"/>
      </c:valAx>
      <c:valAx>
        <c:axId val="171155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Head (ft)</a:t>
                </a:r>
              </a:p>
            </c:rich>
          </c:tx>
          <c:layout>
            <c:manualLayout>
              <c:xMode val="edge"/>
              <c:yMode val="edge"/>
              <c:x val="2.777837701794125E-3"/>
              <c:y val="0.342586479015704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1120512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0.35543</cdr:x>
      <cdr:y>0.0769</cdr:y>
    </cdr:from>
    <cdr:to>
      <cdr:x>0.61872</cdr:x>
      <cdr:y>0.16233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82844" y="220473"/>
          <a:ext cx="1098431" cy="2449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/>
            <a:t>Pump A</a:t>
          </a:r>
        </a:p>
      </cdr:txBody>
    </cdr:sp>
  </cdr:relSizeAnchor>
  <cdr:relSizeAnchor xmlns:cdr="http://schemas.openxmlformats.org/drawingml/2006/chartDrawing">
    <cdr:from>
      <cdr:x>0.2622</cdr:x>
      <cdr:y>0.21977</cdr:y>
    </cdr:from>
    <cdr:to>
      <cdr:x>0.49772</cdr:x>
      <cdr:y>0.30521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093884" y="630098"/>
          <a:ext cx="982565" cy="2449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/>
            <a:t>Pump 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markbenj</dc:creator>
  <cp:lastModifiedBy>Mark Benjamin</cp:lastModifiedBy>
  <cp:revision>2</cp:revision>
  <dcterms:created xsi:type="dcterms:W3CDTF">2012-05-09T06:41:00Z</dcterms:created>
  <dcterms:modified xsi:type="dcterms:W3CDTF">2012-05-09T06:41:00Z</dcterms:modified>
</cp:coreProperties>
</file>