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CD" w:rsidRDefault="001A4DCD" w:rsidP="001A4D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4DCD" w:rsidRPr="008A1619" w:rsidRDefault="001A4DCD" w:rsidP="001A4DCD">
      <w:pPr>
        <w:pStyle w:val="NoSpacing"/>
        <w:numPr>
          <w:ilvl w:val="0"/>
          <w:numId w:val="1"/>
        </w:numPr>
        <w:rPr>
          <w:b/>
        </w:rPr>
      </w:pPr>
      <w:r w:rsidRPr="008A1619">
        <w:rPr>
          <w:b/>
        </w:rPr>
        <w:t>Create and review schedule</w:t>
      </w:r>
    </w:p>
    <w:p w:rsidR="001A4DCD" w:rsidRDefault="001A4DCD" w:rsidP="001A4DCD">
      <w:pPr>
        <w:pStyle w:val="NoSpacing"/>
        <w:ind w:left="720"/>
      </w:pPr>
      <w:r>
        <w:t>Play with barn</w:t>
      </w:r>
    </w:p>
    <w:p w:rsidR="001A4DCD" w:rsidRDefault="001A4DCD" w:rsidP="001A4DCD">
      <w:pPr>
        <w:pStyle w:val="NoSpacing"/>
        <w:ind w:left="720"/>
      </w:pPr>
      <w:r>
        <w:t>Play with house</w:t>
      </w:r>
    </w:p>
    <w:p w:rsidR="001A4DCD" w:rsidRDefault="001A4DCD" w:rsidP="001A4DCD">
      <w:pPr>
        <w:pStyle w:val="NoSpacing"/>
        <w:ind w:left="720"/>
      </w:pPr>
      <w:r>
        <w:t>Play with bubbles</w:t>
      </w:r>
    </w:p>
    <w:p w:rsidR="001A4DCD" w:rsidRDefault="001A4DCD" w:rsidP="001A4DCD">
      <w:pPr>
        <w:pStyle w:val="NoSpacing"/>
        <w:ind w:left="720"/>
      </w:pPr>
      <w:r>
        <w:t>Art</w:t>
      </w:r>
    </w:p>
    <w:p w:rsidR="001A4DCD" w:rsidRDefault="001A4DCD" w:rsidP="001A4DCD">
      <w:pPr>
        <w:pStyle w:val="NoSpacing"/>
        <w:ind w:left="720"/>
      </w:pPr>
      <w:r>
        <w:t>Read book</w:t>
      </w:r>
    </w:p>
    <w:p w:rsidR="001A4DCD" w:rsidRPr="008A1619" w:rsidRDefault="001A4DCD" w:rsidP="001A4DCD">
      <w:pPr>
        <w:pStyle w:val="ListParagraph"/>
        <w:numPr>
          <w:ilvl w:val="0"/>
          <w:numId w:val="1"/>
        </w:numPr>
        <w:rPr>
          <w:b/>
        </w:rPr>
      </w:pPr>
      <w:r w:rsidRPr="008A1619">
        <w:rPr>
          <w:b/>
        </w:rPr>
        <w:t>Intro visual timer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8"/>
        <w:gridCol w:w="5238"/>
      </w:tblGrid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Initiate hi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Respond hi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Receptive agent + action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Receptive action + object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Receptive pronoun (</w:t>
            </w:r>
            <w:r w:rsidRPr="00AA7C0D">
              <w:rPr>
                <w:rFonts w:asciiTheme="minorHAnsi" w:eastAsiaTheme="minorHAnsi" w:hAnsiTheme="minorHAnsi" w:cstheme="minorBidi"/>
                <w:i/>
              </w:rPr>
              <w:t>me, you, he, she, him, her, they</w:t>
            </w:r>
            <w:r w:rsidRPr="00AA7C0D">
              <w:rPr>
                <w:rFonts w:asciiTheme="minorHAnsi" w:eastAsiaTheme="minorHAnsi" w:hAnsiTheme="minorHAnsi" w:cstheme="minorBidi"/>
              </w:rPr>
              <w:t>)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Receptive actions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Receptive preposition (</w:t>
            </w:r>
            <w:r w:rsidRPr="00AA7C0D">
              <w:rPr>
                <w:rFonts w:asciiTheme="minorHAnsi" w:eastAsiaTheme="minorHAnsi" w:hAnsiTheme="minorHAnsi" w:cstheme="minorBidi"/>
                <w:i/>
              </w:rPr>
              <w:t>in, on, under, next to, between, around, beside, in front, in back, behind</w:t>
            </w:r>
            <w:r w:rsidRPr="00AA7C0D">
              <w:rPr>
                <w:rFonts w:asciiTheme="minorHAnsi" w:eastAsiaTheme="minorHAnsi" w:hAnsiTheme="minorHAnsi" w:cstheme="minorBidi"/>
              </w:rPr>
              <w:t>)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Receptive size concepts (</w:t>
            </w:r>
            <w:r w:rsidRPr="00AA7C0D">
              <w:rPr>
                <w:rFonts w:asciiTheme="minorHAnsi" w:eastAsiaTheme="minorHAnsi" w:hAnsiTheme="minorHAnsi" w:cstheme="minorBidi"/>
                <w:i/>
              </w:rPr>
              <w:t>big, little, large, small, shapes</w:t>
            </w:r>
            <w:r w:rsidRPr="00AA7C0D">
              <w:rPr>
                <w:rFonts w:asciiTheme="minorHAnsi" w:eastAsiaTheme="minorHAnsi" w:hAnsiTheme="minorHAnsi" w:cstheme="minorBidi"/>
              </w:rPr>
              <w:t>)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Receptive colors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Receptive quantity (</w:t>
            </w:r>
            <w:r w:rsidRPr="00AA7C0D">
              <w:rPr>
                <w:rFonts w:asciiTheme="minorHAnsi" w:eastAsiaTheme="minorHAnsi" w:hAnsiTheme="minorHAnsi" w:cstheme="minorBidi"/>
                <w:i/>
              </w:rPr>
              <w:t>one, two, more, most, least, less</w:t>
            </w:r>
            <w:r w:rsidRPr="00AA7C0D">
              <w:rPr>
                <w:rFonts w:asciiTheme="minorHAnsi" w:eastAsiaTheme="minorHAnsi" w:hAnsiTheme="minorHAnsi" w:cstheme="minorBidi"/>
              </w:rPr>
              <w:t>)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Receptive part/whole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Follow novel 1-step command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Follow novel 2-step command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Expressive present progressive -</w:t>
            </w:r>
            <w:proofErr w:type="spellStart"/>
            <w:r w:rsidRPr="00AA7C0D">
              <w:rPr>
                <w:rFonts w:asciiTheme="minorHAnsi" w:eastAsiaTheme="minorHAnsi" w:hAnsiTheme="minorHAnsi" w:cstheme="minorBidi"/>
              </w:rPr>
              <w:t>ing</w:t>
            </w:r>
            <w:proofErr w:type="spellEnd"/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Expressive regular third person -s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Expressive regular past tense -</w:t>
            </w:r>
            <w:proofErr w:type="spellStart"/>
            <w:r w:rsidRPr="00AA7C0D">
              <w:rPr>
                <w:rFonts w:asciiTheme="minorHAnsi" w:eastAsiaTheme="minorHAnsi" w:hAnsiTheme="minorHAnsi" w:cstheme="minorBidi"/>
              </w:rPr>
              <w:t>ed</w:t>
            </w:r>
            <w:proofErr w:type="spellEnd"/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Expressive irregular past tense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Expressive regular plural -s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Expressive irregular plural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Expressive possessive -s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 xml:space="preserve">Expressive </w:t>
            </w:r>
            <w:proofErr w:type="spellStart"/>
            <w:r w:rsidRPr="00AA7C0D">
              <w:rPr>
                <w:rFonts w:asciiTheme="minorHAnsi" w:eastAsiaTheme="minorHAnsi" w:hAnsiTheme="minorHAnsi" w:cstheme="minorBidi"/>
              </w:rPr>
              <w:t>uncontractable</w:t>
            </w:r>
            <w:proofErr w:type="spellEnd"/>
            <w:r w:rsidRPr="00AA7C0D">
              <w:rPr>
                <w:rFonts w:asciiTheme="minorHAnsi" w:eastAsiaTheme="minorHAnsi" w:hAnsiTheme="minorHAnsi" w:cstheme="minorBidi"/>
              </w:rPr>
              <w:t xml:space="preserve"> copula (</w:t>
            </w:r>
            <w:r w:rsidRPr="00AA7C0D">
              <w:rPr>
                <w:rFonts w:asciiTheme="minorHAnsi" w:eastAsiaTheme="minorHAnsi" w:hAnsiTheme="minorHAnsi" w:cstheme="minorBidi"/>
                <w:i/>
              </w:rPr>
              <w:t>to be</w:t>
            </w:r>
            <w:r w:rsidRPr="00AA7C0D">
              <w:rPr>
                <w:rFonts w:asciiTheme="minorHAnsi" w:eastAsiaTheme="minorHAnsi" w:hAnsiTheme="minorHAnsi" w:cstheme="minorBidi"/>
              </w:rPr>
              <w:t>)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 xml:space="preserve">Answer </w:t>
            </w:r>
            <w:r w:rsidRPr="00AA7C0D">
              <w:rPr>
                <w:rFonts w:asciiTheme="minorHAnsi" w:eastAsiaTheme="minorHAnsi" w:hAnsiTheme="minorHAnsi" w:cstheme="minorBidi"/>
                <w:i/>
              </w:rPr>
              <w:t>what</w:t>
            </w:r>
            <w:r w:rsidRPr="00AA7C0D">
              <w:rPr>
                <w:rFonts w:asciiTheme="minorHAnsi" w:eastAsiaTheme="minorHAnsi" w:hAnsiTheme="minorHAnsi" w:cstheme="minorBidi"/>
              </w:rPr>
              <w:t xml:space="preserve"> questions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 xml:space="preserve">Answer </w:t>
            </w:r>
            <w:r w:rsidRPr="00AA7C0D">
              <w:rPr>
                <w:rFonts w:asciiTheme="minorHAnsi" w:eastAsiaTheme="minorHAnsi" w:hAnsiTheme="minorHAnsi" w:cstheme="minorBidi"/>
                <w:i/>
              </w:rPr>
              <w:t>who</w:t>
            </w:r>
            <w:r w:rsidRPr="00AA7C0D">
              <w:rPr>
                <w:rFonts w:asciiTheme="minorHAnsi" w:eastAsiaTheme="minorHAnsi" w:hAnsiTheme="minorHAnsi" w:cstheme="minorBidi"/>
              </w:rPr>
              <w:t xml:space="preserve"> questions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 xml:space="preserve">Answer </w:t>
            </w:r>
            <w:r w:rsidRPr="00AA7C0D">
              <w:rPr>
                <w:rFonts w:asciiTheme="minorHAnsi" w:eastAsiaTheme="minorHAnsi" w:hAnsiTheme="minorHAnsi" w:cstheme="minorBidi"/>
                <w:i/>
              </w:rPr>
              <w:t>where</w:t>
            </w:r>
            <w:r w:rsidRPr="00AA7C0D">
              <w:rPr>
                <w:rFonts w:asciiTheme="minorHAnsi" w:eastAsiaTheme="minorHAnsi" w:hAnsiTheme="minorHAnsi" w:cstheme="minorBidi"/>
              </w:rPr>
              <w:t xml:space="preserve"> questions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Initiate bye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  <w:tr w:rsidR="001A4DCD" w:rsidRPr="00AA7C0D"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AA7C0D">
              <w:rPr>
                <w:rFonts w:asciiTheme="minorHAnsi" w:eastAsiaTheme="minorHAnsi" w:hAnsiTheme="minorHAnsi" w:cstheme="minorBidi"/>
              </w:rPr>
              <w:t>Respond bye</w:t>
            </w:r>
          </w:p>
        </w:tc>
        <w:tc>
          <w:tcPr>
            <w:tcW w:w="5238" w:type="dxa"/>
          </w:tcPr>
          <w:p w:rsidR="001A4DCD" w:rsidRPr="00AA7C0D" w:rsidRDefault="001A4DCD" w:rsidP="007639A6">
            <w:pPr>
              <w:pStyle w:val="NoSpacing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1A4DCD" w:rsidRDefault="001A4DCD" w:rsidP="001A4DCD"/>
    <w:p w:rsidR="001A4DCD" w:rsidRDefault="001A4DCD" w:rsidP="001A4DCD">
      <w:r>
        <w:t>Play observations (symbolic, engage with me):</w:t>
      </w:r>
    </w:p>
    <w:p w:rsidR="001A4DCD" w:rsidRDefault="001A4DCD" w:rsidP="001A4DCD"/>
    <w:p w:rsidR="001A4DCD" w:rsidRDefault="001A4DCD" w:rsidP="001A4DCD"/>
    <w:p w:rsidR="001A4DCD" w:rsidRDefault="001A4DCD" w:rsidP="001A4DCD">
      <w:r>
        <w:t>Noteworthy utterances:</w:t>
      </w:r>
    </w:p>
    <w:p w:rsidR="00EB0BCC" w:rsidRDefault="001A4DCD"/>
    <w:sectPr w:rsidR="00EB0BCC" w:rsidSect="007639A6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2471C"/>
    <w:multiLevelType w:val="hybridMultilevel"/>
    <w:tmpl w:val="CF3A6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4DCD"/>
    <w:rsid w:val="001A4DCD"/>
  </w:rsids>
  <m:mathPr>
    <m:mathFont m:val="TmsRmn 18pt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C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A4DCD"/>
    <w:pPr>
      <w:ind w:left="720"/>
      <w:contextualSpacing/>
    </w:pPr>
  </w:style>
  <w:style w:type="paragraph" w:styleId="NoSpacing">
    <w:name w:val="No Spacing"/>
    <w:uiPriority w:val="1"/>
    <w:qFormat/>
    <w:rsid w:val="001A4DCD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A4D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DC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DC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DC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DCD"/>
    <w:rPr>
      <w:rFonts w:ascii="Lucida Grande" w:eastAsia="Calibri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Krings</dc:creator>
  <cp:keywords/>
  <cp:lastModifiedBy>Kate Krings</cp:lastModifiedBy>
  <cp:revision>1</cp:revision>
  <dcterms:created xsi:type="dcterms:W3CDTF">2009-10-01T21:55:00Z</dcterms:created>
  <dcterms:modified xsi:type="dcterms:W3CDTF">2009-10-01T21:56:00Z</dcterms:modified>
</cp:coreProperties>
</file>