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EA875" w14:textId="77777777" w:rsidR="007409E8" w:rsidRDefault="00D5324B">
      <w:r>
        <w:t>Final Performance Report</w:t>
      </w:r>
    </w:p>
    <w:p w14:paraId="04E15AB0" w14:textId="77777777" w:rsidR="00D5324B" w:rsidRDefault="00D5324B"/>
    <w:p w14:paraId="5460BEAB" w14:textId="77777777" w:rsidR="00D5324B" w:rsidRDefault="00D5324B">
      <w:r>
        <w:t>Grant Number: HD5126011</w:t>
      </w:r>
    </w:p>
    <w:p w14:paraId="1E7F90D2" w14:textId="77777777" w:rsidR="00D5324B" w:rsidRDefault="00D5324B">
      <w:r>
        <w:t>Project Title: Advancing Information Design for Architectural Image Interfaces</w:t>
      </w:r>
    </w:p>
    <w:p w14:paraId="1EE394F1" w14:textId="645744F7" w:rsidR="00D5324B" w:rsidRDefault="00D5324B">
      <w:r>
        <w:t>Project Director: William Jordan</w:t>
      </w:r>
      <w:r w:rsidR="006F4ABA">
        <w:t>, Co-Director; James West, Co-Director</w:t>
      </w:r>
    </w:p>
    <w:p w14:paraId="1BD5B46D" w14:textId="77777777" w:rsidR="00D5324B" w:rsidRDefault="00D5324B">
      <w:r>
        <w:t>Institution: University of Washington</w:t>
      </w:r>
    </w:p>
    <w:p w14:paraId="70776906" w14:textId="02FDACB3" w:rsidR="00D5324B" w:rsidRDefault="00D5324B">
      <w:r>
        <w:t>Submission Date:</w:t>
      </w:r>
      <w:r w:rsidR="006F4ABA">
        <w:t xml:space="preserve"> 11/30/2012</w:t>
      </w:r>
    </w:p>
    <w:p w14:paraId="30050A8F" w14:textId="77777777" w:rsidR="00D5324B" w:rsidRDefault="00D5324B"/>
    <w:p w14:paraId="4C72E1B2" w14:textId="77777777" w:rsidR="00D5324B" w:rsidRDefault="00D5324B"/>
    <w:p w14:paraId="6E494A05" w14:textId="77777777" w:rsidR="00D5324B" w:rsidRDefault="00D5324B">
      <w:r>
        <w:br w:type="page"/>
      </w:r>
    </w:p>
    <w:p w14:paraId="57E6E092" w14:textId="77777777" w:rsidR="0019250C" w:rsidRDefault="0019250C" w:rsidP="0019250C">
      <w:r w:rsidRPr="00961DAA">
        <w:lastRenderedPageBreak/>
        <w:t xml:space="preserve">The </w:t>
      </w:r>
      <w:r>
        <w:t xml:space="preserve">initial phase of the Brumfield Russian Architecture project, funded by a previous NEH grant and other sources, was a three-year digitization and cataloging project, scanning Prof. Brumfield’s conventional slides and creating a hierarchically structured metadata set to describe the roughly 30,000 images that constitute the digital Brumfield Russian Architecture Collection. </w:t>
      </w:r>
    </w:p>
    <w:p w14:paraId="35A3A032" w14:textId="77777777" w:rsidR="0019250C" w:rsidRDefault="0019250C" w:rsidP="0019250C"/>
    <w:p w14:paraId="0CA9924A" w14:textId="559A7652" w:rsidR="00D5324B" w:rsidRPr="0019250C" w:rsidRDefault="0019250C" w:rsidP="0019250C">
      <w:r>
        <w:t>The currently funded NEH Digital Humanities project is for the design and implementation of a web interface to make a substantial part of the Brumfield Collection</w:t>
      </w:r>
      <w:r w:rsidR="00D5324B" w:rsidRPr="00D5324B">
        <w:t xml:space="preserve"> available for study at various levels of sophistication in a form appropriate to both the nature of the material and the needs of the wide variety of users who will be consulting it.  The interface envisaged here, as distinct from a data storage and retrieval system, involves an awareness of the nature of the particular data set and the potential for combination of its elements into information meaningful to a wide variety of potential users, especially but not exclusively those who are serious researchers as opposed to exploratory browsers.  The Brumfield Collection Project has aimed from its outset to take advantage of the evolution over recent years of both metadata structures and presentation technologies</w:t>
      </w:r>
      <w:r w:rsidR="00D5324B">
        <w:t>.</w:t>
      </w:r>
    </w:p>
    <w:p w14:paraId="089D76A2" w14:textId="77777777" w:rsidR="00D5324B" w:rsidRDefault="00D5324B" w:rsidP="00D5324B">
      <w:pPr>
        <w:rPr>
          <w:bCs/>
        </w:rPr>
      </w:pPr>
    </w:p>
    <w:p w14:paraId="1BDCED03" w14:textId="77777777" w:rsidR="00D5324B" w:rsidRDefault="00D5324B" w:rsidP="00D5324B">
      <w:pPr>
        <w:pStyle w:val="Subtitle"/>
        <w:rPr>
          <w:b w:val="0"/>
          <w:bCs w:val="0"/>
        </w:rPr>
      </w:pPr>
      <w:r>
        <w:rPr>
          <w:b w:val="0"/>
        </w:rPr>
        <w:t xml:space="preserve">The images of the Brumfield Collection were cataloged using a metadata set (devised for this project, and still to some extent evolving as the collection grows) that describes the most important characteristics of Russian buildings.  Metadata of this kind serve a basic archival purpose, enabling the partial retrieval of stored data based on certain characteristics rather than others. </w:t>
      </w:r>
      <w:r w:rsidRPr="002C4019">
        <w:rPr>
          <w:b w:val="0"/>
          <w:bCs w:val="0"/>
        </w:rPr>
        <w:t>Current best pract</w:t>
      </w:r>
      <w:r>
        <w:rPr>
          <w:b w:val="0"/>
          <w:bCs w:val="0"/>
        </w:rPr>
        <w:t xml:space="preserve">ices for metadata structures using XML-based </w:t>
      </w:r>
      <w:r w:rsidRPr="002C4019">
        <w:rPr>
          <w:b w:val="0"/>
          <w:bCs w:val="0"/>
        </w:rPr>
        <w:t>schemas, such as the Metadata Encoding and</w:t>
      </w:r>
      <w:r>
        <w:rPr>
          <w:b w:val="0"/>
          <w:bCs w:val="0"/>
        </w:rPr>
        <w:t xml:space="preserve"> Transmission Standard (METS), enable </w:t>
      </w:r>
      <w:r w:rsidRPr="002C4019">
        <w:rPr>
          <w:b w:val="0"/>
          <w:bCs w:val="0"/>
        </w:rPr>
        <w:t xml:space="preserve">substantial </w:t>
      </w:r>
      <w:r>
        <w:rPr>
          <w:b w:val="0"/>
          <w:bCs w:val="0"/>
        </w:rPr>
        <w:t>advances</w:t>
      </w:r>
      <w:r w:rsidRPr="002C4019">
        <w:rPr>
          <w:b w:val="0"/>
          <w:bCs w:val="0"/>
        </w:rPr>
        <w:t xml:space="preserve"> in the presentatio</w:t>
      </w:r>
      <w:r>
        <w:rPr>
          <w:b w:val="0"/>
          <w:bCs w:val="0"/>
        </w:rPr>
        <w:t xml:space="preserve">n of both images and metadata, </w:t>
      </w:r>
      <w:r w:rsidRPr="002C4019">
        <w:rPr>
          <w:b w:val="0"/>
          <w:bCs w:val="0"/>
        </w:rPr>
        <w:t xml:space="preserve">and in the </w:t>
      </w:r>
      <w:r>
        <w:rPr>
          <w:b w:val="0"/>
          <w:bCs w:val="0"/>
        </w:rPr>
        <w:t xml:space="preserve">eventual </w:t>
      </w:r>
      <w:r w:rsidRPr="002C4019">
        <w:rPr>
          <w:b w:val="0"/>
          <w:bCs w:val="0"/>
        </w:rPr>
        <w:t>usability of interface</w:t>
      </w:r>
      <w:r>
        <w:rPr>
          <w:b w:val="0"/>
          <w:bCs w:val="0"/>
        </w:rPr>
        <w:t>s</w:t>
      </w:r>
      <w:r w:rsidRPr="002C4019">
        <w:rPr>
          <w:b w:val="0"/>
          <w:bCs w:val="0"/>
        </w:rPr>
        <w:t xml:space="preserve">. </w:t>
      </w:r>
      <w:r>
        <w:rPr>
          <w:b w:val="0"/>
          <w:bCs w:val="0"/>
        </w:rPr>
        <w:t xml:space="preserve">The use of structured metadata </w:t>
      </w:r>
      <w:r w:rsidRPr="002C4019">
        <w:rPr>
          <w:b w:val="0"/>
          <w:bCs w:val="0"/>
        </w:rPr>
        <w:t xml:space="preserve">schemas for modeling </w:t>
      </w:r>
      <w:r>
        <w:rPr>
          <w:b w:val="0"/>
          <w:bCs w:val="0"/>
        </w:rPr>
        <w:t xml:space="preserve">the complex data relationships typically found in architectural collections </w:t>
      </w:r>
      <w:r w:rsidRPr="002C4019">
        <w:rPr>
          <w:b w:val="0"/>
          <w:bCs w:val="0"/>
        </w:rPr>
        <w:t>has the advantag</w:t>
      </w:r>
      <w:r>
        <w:rPr>
          <w:b w:val="0"/>
          <w:bCs w:val="0"/>
        </w:rPr>
        <w:t xml:space="preserve">e of providing a standardized, </w:t>
      </w:r>
      <w:r w:rsidRPr="002C4019">
        <w:rPr>
          <w:b w:val="0"/>
          <w:bCs w:val="0"/>
        </w:rPr>
        <w:t>documented format that can be transferred to any suite of deliver</w:t>
      </w:r>
      <w:r>
        <w:rPr>
          <w:b w:val="0"/>
          <w:bCs w:val="0"/>
        </w:rPr>
        <w:t xml:space="preserve">y and </w:t>
      </w:r>
      <w:r w:rsidRPr="002C4019">
        <w:rPr>
          <w:b w:val="0"/>
          <w:bCs w:val="0"/>
        </w:rPr>
        <w:t xml:space="preserve">presentation mechanisms. It </w:t>
      </w:r>
      <w:r>
        <w:rPr>
          <w:b w:val="0"/>
          <w:bCs w:val="0"/>
        </w:rPr>
        <w:t xml:space="preserve">also </w:t>
      </w:r>
      <w:r w:rsidRPr="002C4019">
        <w:rPr>
          <w:b w:val="0"/>
          <w:bCs w:val="0"/>
        </w:rPr>
        <w:t>make</w:t>
      </w:r>
      <w:r>
        <w:rPr>
          <w:b w:val="0"/>
          <w:bCs w:val="0"/>
        </w:rPr>
        <w:t xml:space="preserve">s it possible to minimize </w:t>
      </w:r>
      <w:r w:rsidRPr="002C4019">
        <w:rPr>
          <w:b w:val="0"/>
          <w:bCs w:val="0"/>
        </w:rPr>
        <w:t>redundancies in cataloging, and allow</w:t>
      </w:r>
      <w:r>
        <w:rPr>
          <w:b w:val="0"/>
          <w:bCs w:val="0"/>
        </w:rPr>
        <w:t xml:space="preserve">s clearer relationships to be </w:t>
      </w:r>
      <w:r w:rsidRPr="002C4019">
        <w:rPr>
          <w:b w:val="0"/>
          <w:bCs w:val="0"/>
        </w:rPr>
        <w:t>described between the architectural componen</w:t>
      </w:r>
      <w:r>
        <w:rPr>
          <w:b w:val="0"/>
          <w:bCs w:val="0"/>
        </w:rPr>
        <w:t xml:space="preserve">ts, regardless of the eventual </w:t>
      </w:r>
      <w:r w:rsidRPr="002C4019">
        <w:rPr>
          <w:b w:val="0"/>
          <w:bCs w:val="0"/>
        </w:rPr>
        <w:t xml:space="preserve">presentation format. The Visual Resources Association (VRA) is developing a set of best practices for describing cultural objects (such as architectural entities). These guidelines, </w:t>
      </w:r>
      <w:r>
        <w:rPr>
          <w:b w:val="0"/>
          <w:bCs w:val="0"/>
        </w:rPr>
        <w:t>known as CCO</w:t>
      </w:r>
      <w:r w:rsidRPr="002C4019">
        <w:rPr>
          <w:b w:val="0"/>
          <w:bCs w:val="0"/>
        </w:rPr>
        <w:t xml:space="preserve"> </w:t>
      </w:r>
      <w:r>
        <w:rPr>
          <w:b w:val="0"/>
          <w:bCs w:val="0"/>
        </w:rPr>
        <w:t>and based on the work of Murtha Baca et al. (</w:t>
      </w:r>
      <w:r w:rsidRPr="004B1CB8">
        <w:rPr>
          <w:b w:val="0"/>
          <w:bCs w:val="0"/>
          <w:i/>
          <w:iCs/>
        </w:rPr>
        <w:t>Cataloging Cultural Objects</w:t>
      </w:r>
      <w:r>
        <w:rPr>
          <w:b w:val="0"/>
          <w:bCs w:val="0"/>
          <w:i/>
          <w:iCs/>
        </w:rPr>
        <w:t>: A Guide To Describing Cultural Works And Their Images</w:t>
      </w:r>
      <w:r w:rsidRPr="002C4019">
        <w:rPr>
          <w:b w:val="0"/>
          <w:bCs w:val="0"/>
        </w:rPr>
        <w:t>,</w:t>
      </w:r>
      <w:r>
        <w:rPr>
          <w:b w:val="0"/>
          <w:bCs w:val="0"/>
        </w:rPr>
        <w:t xml:space="preserve"> Chicago: American Library Association, 2006), was extensively consulted during the </w:t>
      </w:r>
      <w:r w:rsidRPr="002C4019">
        <w:rPr>
          <w:b w:val="0"/>
          <w:bCs w:val="0"/>
        </w:rPr>
        <w:t>metadata design and recording processes for this project.</w:t>
      </w:r>
      <w:r w:rsidRPr="001326EA">
        <w:rPr>
          <w:b w:val="0"/>
          <w:bCs w:val="0"/>
        </w:rPr>
        <w:t xml:space="preserve"> </w:t>
      </w:r>
      <w:r>
        <w:rPr>
          <w:b w:val="0"/>
          <w:bCs w:val="0"/>
        </w:rPr>
        <w:t>The Brumfield Collection Project employed</w:t>
      </w:r>
      <w:r w:rsidRPr="002C4019">
        <w:rPr>
          <w:b w:val="0"/>
          <w:bCs w:val="0"/>
        </w:rPr>
        <w:t xml:space="preserve"> a metadata standard that allows capture</w:t>
      </w:r>
      <w:r>
        <w:rPr>
          <w:b w:val="0"/>
          <w:bCs w:val="0"/>
        </w:rPr>
        <w:t xml:space="preserve"> of</w:t>
      </w:r>
      <w:r w:rsidRPr="002C4019">
        <w:rPr>
          <w:b w:val="0"/>
          <w:bCs w:val="0"/>
        </w:rPr>
        <w:t xml:space="preserve"> the many subtleties and factual details that are crucial for accurate and sophisticated documentation of </w:t>
      </w:r>
      <w:r>
        <w:rPr>
          <w:b w:val="0"/>
          <w:bCs w:val="0"/>
        </w:rPr>
        <w:t xml:space="preserve">architectural </w:t>
      </w:r>
      <w:r w:rsidRPr="002C4019">
        <w:rPr>
          <w:b w:val="0"/>
          <w:bCs w:val="0"/>
        </w:rPr>
        <w:t>objects. The METS framework was</w:t>
      </w:r>
      <w:r>
        <w:rPr>
          <w:b w:val="0"/>
          <w:bCs w:val="0"/>
        </w:rPr>
        <w:t xml:space="preserve"> used</w:t>
      </w:r>
      <w:r w:rsidRPr="002C4019">
        <w:rPr>
          <w:b w:val="0"/>
          <w:bCs w:val="0"/>
        </w:rPr>
        <w:t xml:space="preserve"> to structure the data hierarchically, while CCO guidelines </w:t>
      </w:r>
      <w:r>
        <w:rPr>
          <w:b w:val="0"/>
          <w:bCs w:val="0"/>
        </w:rPr>
        <w:t>are</w:t>
      </w:r>
      <w:r w:rsidRPr="002C4019">
        <w:rPr>
          <w:b w:val="0"/>
          <w:bCs w:val="0"/>
        </w:rPr>
        <w:t xml:space="preserve"> employed for cataloging procedures. The CCO guidelines provide appropriate strategies for cataloging cultural objects, such as those contained in the Brumfield images. Descriptive metadata </w:t>
      </w:r>
      <w:r>
        <w:rPr>
          <w:b w:val="0"/>
          <w:bCs w:val="0"/>
        </w:rPr>
        <w:t>has been</w:t>
      </w:r>
      <w:r w:rsidRPr="002C4019">
        <w:rPr>
          <w:b w:val="0"/>
          <w:bCs w:val="0"/>
        </w:rPr>
        <w:t xml:space="preserve"> created </w:t>
      </w:r>
      <w:r>
        <w:rPr>
          <w:b w:val="0"/>
          <w:bCs w:val="0"/>
        </w:rPr>
        <w:t>using</w:t>
      </w:r>
      <w:r w:rsidRPr="002C4019">
        <w:rPr>
          <w:b w:val="0"/>
          <w:bCs w:val="0"/>
        </w:rPr>
        <w:t xml:space="preserve"> the Visual Resources Association (VRA) schema for cultural objects, since it has some elements that </w:t>
      </w:r>
      <w:r>
        <w:rPr>
          <w:b w:val="0"/>
          <w:bCs w:val="0"/>
        </w:rPr>
        <w:t>are</w:t>
      </w:r>
      <w:r w:rsidRPr="002C4019">
        <w:rPr>
          <w:b w:val="0"/>
          <w:bCs w:val="0"/>
        </w:rPr>
        <w:t xml:space="preserve"> more appropriat</w:t>
      </w:r>
      <w:r>
        <w:rPr>
          <w:b w:val="0"/>
          <w:bCs w:val="0"/>
        </w:rPr>
        <w:t>e to the Brumfield collection.</w:t>
      </w:r>
    </w:p>
    <w:p w14:paraId="057D3C7F" w14:textId="77777777" w:rsidR="00D5324B" w:rsidRPr="00D5324B" w:rsidRDefault="00D5324B" w:rsidP="00D5324B">
      <w:pPr>
        <w:pStyle w:val="Subtitle"/>
        <w:keepNext/>
        <w:rPr>
          <w:b w:val="0"/>
        </w:rPr>
      </w:pPr>
      <w:r>
        <w:rPr>
          <w:b w:val="0"/>
        </w:rPr>
        <w:t xml:space="preserve">The structure for the Brumfield metadata, which reflects multiple images of most of the architectural entities in the collection, was from the outset envisaged as hierarchical, </w:t>
      </w:r>
      <w:r>
        <w:rPr>
          <w:b w:val="0"/>
        </w:rPr>
        <w:lastRenderedPageBreak/>
        <w:t>based on the degree of generality of the view represented by each photographic image of the same entity.  The photographs may be of panoramic scenes placing particular buildings in their natural or architectural environments, complexes composed of several buildings, individual buildings viewed from the exterior or the interior, substructures of buildings, or details of construction and decoration. The metadata reflects this structure, making it possible to access the information it contains in ways that are not strictly sequential, and go beyond display based on multiple-criteria searches. Ideally, a display based on browsing, look-up or a search for one or more criteria would be followed by an exploration of related images at different levels of the hierarchy of generality.</w:t>
      </w:r>
    </w:p>
    <w:p w14:paraId="711D608D" w14:textId="4B0C3303" w:rsidR="000507BD" w:rsidRPr="001C101E" w:rsidRDefault="00D5324B" w:rsidP="000507BD">
      <w:pPr>
        <w:pStyle w:val="HTMLPreformatted"/>
        <w:rPr>
          <w:rFonts w:ascii="Times New Roman" w:hAnsi="Times New Roman" w:cs="Times New Roman"/>
          <w:color w:val="000000"/>
          <w:sz w:val="24"/>
          <w:szCs w:val="24"/>
        </w:rPr>
      </w:pPr>
      <w:r w:rsidRPr="001C101E">
        <w:rPr>
          <w:rFonts w:ascii="Times New Roman" w:hAnsi="Times New Roman" w:cs="Times New Roman"/>
          <w:sz w:val="24"/>
          <w:szCs w:val="24"/>
        </w:rPr>
        <w:t>We have produced a draft version of a Brumfield Collection interface that fulfills some</w:t>
      </w:r>
      <w:r w:rsidR="007F48FB">
        <w:rPr>
          <w:rFonts w:ascii="Times New Roman" w:hAnsi="Times New Roman" w:cs="Times New Roman"/>
          <w:sz w:val="24"/>
          <w:szCs w:val="24"/>
        </w:rPr>
        <w:t>,</w:t>
      </w:r>
      <w:r w:rsidRPr="001C101E">
        <w:rPr>
          <w:rFonts w:ascii="Times New Roman" w:hAnsi="Times New Roman" w:cs="Times New Roman"/>
          <w:sz w:val="24"/>
          <w:szCs w:val="24"/>
        </w:rPr>
        <w:t xml:space="preserve"> but not all</w:t>
      </w:r>
      <w:r w:rsidR="007F48FB">
        <w:rPr>
          <w:rFonts w:ascii="Times New Roman" w:hAnsi="Times New Roman" w:cs="Times New Roman"/>
          <w:sz w:val="24"/>
          <w:szCs w:val="24"/>
        </w:rPr>
        <w:t>,</w:t>
      </w:r>
      <w:r w:rsidRPr="001C101E">
        <w:rPr>
          <w:rFonts w:ascii="Times New Roman" w:hAnsi="Times New Roman" w:cs="Times New Roman"/>
          <w:sz w:val="24"/>
          <w:szCs w:val="24"/>
        </w:rPr>
        <w:t xml:space="preserve"> of our objectives</w:t>
      </w:r>
      <w:r w:rsidR="0019250C" w:rsidRPr="001C101E">
        <w:rPr>
          <w:rFonts w:ascii="Times New Roman" w:hAnsi="Times New Roman" w:cs="Times New Roman"/>
          <w:b/>
          <w:bCs/>
          <w:sz w:val="24"/>
          <w:szCs w:val="24"/>
        </w:rPr>
        <w:t xml:space="preserve">.  </w:t>
      </w:r>
      <w:r w:rsidR="0019250C" w:rsidRPr="001C101E">
        <w:rPr>
          <w:rFonts w:ascii="Times New Roman" w:hAnsi="Times New Roman" w:cs="Times New Roman"/>
          <w:color w:val="000000"/>
          <w:sz w:val="24"/>
          <w:szCs w:val="24"/>
        </w:rPr>
        <w:t xml:space="preserve">The application as it stands </w:t>
      </w:r>
      <w:r w:rsidR="000507BD" w:rsidRPr="001C101E">
        <w:rPr>
          <w:rFonts w:ascii="Times New Roman" w:hAnsi="Times New Roman" w:cs="Times New Roman"/>
          <w:color w:val="000000"/>
          <w:sz w:val="24"/>
          <w:szCs w:val="24"/>
        </w:rPr>
        <w:t>consists of a</w:t>
      </w:r>
      <w:r w:rsidR="0019250C" w:rsidRPr="001C101E">
        <w:rPr>
          <w:rFonts w:ascii="Times New Roman" w:hAnsi="Times New Roman" w:cs="Times New Roman"/>
          <w:color w:val="000000"/>
          <w:sz w:val="24"/>
          <w:szCs w:val="24"/>
        </w:rPr>
        <w:t xml:space="preserve"> relational database </w:t>
      </w:r>
      <w:r w:rsidR="000507BD" w:rsidRPr="001C101E">
        <w:rPr>
          <w:rFonts w:ascii="Times New Roman" w:hAnsi="Times New Roman" w:cs="Times New Roman"/>
          <w:color w:val="000000"/>
          <w:sz w:val="24"/>
          <w:szCs w:val="24"/>
        </w:rPr>
        <w:t>that contains the metadata for the Collection, a search facility that allows keyword, subject, and date searching of the metadata, a browse facility that generates a tree display of the building hierarchy to which a given image belongs</w:t>
      </w:r>
      <w:r w:rsidR="003E743F" w:rsidRPr="001C101E">
        <w:rPr>
          <w:rFonts w:ascii="Times New Roman" w:hAnsi="Times New Roman" w:cs="Times New Roman"/>
          <w:color w:val="000000"/>
          <w:sz w:val="24"/>
          <w:szCs w:val="24"/>
        </w:rPr>
        <w:t xml:space="preserve"> and allows the user to navigate that hierarchy</w:t>
      </w:r>
      <w:r w:rsidR="000507BD" w:rsidRPr="001C101E">
        <w:rPr>
          <w:rFonts w:ascii="Times New Roman" w:hAnsi="Times New Roman" w:cs="Times New Roman"/>
          <w:color w:val="000000"/>
          <w:sz w:val="24"/>
          <w:szCs w:val="24"/>
        </w:rPr>
        <w:t>, and a thesaurus facility that assists in building queries using the Getty Art and Architecture Thesaurus</w:t>
      </w:r>
      <w:r w:rsidR="008366CD">
        <w:rPr>
          <w:rStyle w:val="EndnoteReference"/>
          <w:rFonts w:ascii="Times New Roman" w:hAnsi="Times New Roman" w:cs="Times New Roman"/>
          <w:color w:val="000000"/>
          <w:sz w:val="24"/>
          <w:szCs w:val="24"/>
        </w:rPr>
        <w:endnoteReference w:id="1"/>
      </w:r>
      <w:r w:rsidR="000507BD" w:rsidRPr="001C101E">
        <w:rPr>
          <w:rFonts w:ascii="Times New Roman" w:hAnsi="Times New Roman" w:cs="Times New Roman"/>
          <w:color w:val="000000"/>
          <w:sz w:val="24"/>
          <w:szCs w:val="24"/>
        </w:rPr>
        <w:t xml:space="preserve"> </w:t>
      </w:r>
      <w:r w:rsidR="00CF5644">
        <w:rPr>
          <w:rFonts w:ascii="Times New Roman" w:hAnsi="Times New Roman" w:cs="Times New Roman"/>
          <w:color w:val="000000"/>
          <w:sz w:val="24"/>
          <w:szCs w:val="24"/>
        </w:rPr>
        <w:t xml:space="preserve">(AAT) </w:t>
      </w:r>
      <w:r w:rsidR="000507BD" w:rsidRPr="001C101E">
        <w:rPr>
          <w:rFonts w:ascii="Times New Roman" w:hAnsi="Times New Roman" w:cs="Times New Roman"/>
          <w:color w:val="000000"/>
          <w:sz w:val="24"/>
          <w:szCs w:val="24"/>
        </w:rPr>
        <w:t xml:space="preserve">controlled vocabulary.  </w:t>
      </w:r>
      <w:r w:rsidR="00D657AD">
        <w:rPr>
          <w:rFonts w:ascii="Times New Roman" w:hAnsi="Times New Roman" w:cs="Times New Roman"/>
          <w:color w:val="000000"/>
          <w:sz w:val="24"/>
          <w:szCs w:val="24"/>
        </w:rPr>
        <w:t xml:space="preserve">The interface can be explored at </w:t>
      </w:r>
      <w:r w:rsidR="00D657AD" w:rsidRPr="00D657AD">
        <w:rPr>
          <w:rFonts w:ascii="Times New Roman" w:hAnsi="Times New Roman" w:cs="Times New Roman"/>
          <w:color w:val="000000"/>
          <w:sz w:val="24"/>
          <w:szCs w:val="24"/>
        </w:rPr>
        <w:t>http://digital.lib.washington.edu/brumfield/</w:t>
      </w:r>
    </w:p>
    <w:p w14:paraId="281B1C35" w14:textId="7FC397A9" w:rsidR="0019250C" w:rsidRPr="001C101E" w:rsidRDefault="000507BD" w:rsidP="000507BD">
      <w:pPr>
        <w:pStyle w:val="HTMLPreformatted"/>
        <w:rPr>
          <w:rFonts w:ascii="Times New Roman" w:hAnsi="Times New Roman" w:cs="Times New Roman"/>
          <w:color w:val="000000"/>
          <w:sz w:val="24"/>
          <w:szCs w:val="24"/>
        </w:rPr>
      </w:pPr>
      <w:r w:rsidRPr="001C101E">
        <w:rPr>
          <w:rFonts w:ascii="Times New Roman" w:hAnsi="Times New Roman" w:cs="Times New Roman"/>
          <w:color w:val="000000"/>
          <w:sz w:val="24"/>
          <w:szCs w:val="24"/>
        </w:rPr>
        <w:t xml:space="preserve"> </w:t>
      </w:r>
    </w:p>
    <w:p w14:paraId="106C8304" w14:textId="1B05F24B" w:rsidR="001C101E" w:rsidRDefault="001C101E" w:rsidP="001C101E">
      <w:pPr>
        <w:pStyle w:val="HTMLPreformatted"/>
        <w:rPr>
          <w:rFonts w:ascii="Times New Roman" w:hAnsi="Times New Roman" w:cs="Times New Roman"/>
          <w:color w:val="000000"/>
          <w:sz w:val="24"/>
          <w:szCs w:val="24"/>
        </w:rPr>
      </w:pPr>
      <w:r w:rsidRPr="001C101E">
        <w:rPr>
          <w:rFonts w:ascii="Times New Roman" w:hAnsi="Times New Roman" w:cs="Times New Roman"/>
          <w:color w:val="000000"/>
          <w:sz w:val="24"/>
          <w:szCs w:val="24"/>
        </w:rPr>
        <w:t>A search, whether keyword or restricted to a particular field, produces a result set displayed as a carousel</w:t>
      </w:r>
      <w:r w:rsidR="00345C64">
        <w:rPr>
          <w:rStyle w:val="EndnoteReference"/>
          <w:rFonts w:ascii="Times New Roman" w:hAnsi="Times New Roman" w:cs="Times New Roman"/>
          <w:color w:val="000000"/>
          <w:sz w:val="24"/>
          <w:szCs w:val="24"/>
        </w:rPr>
        <w:endnoteReference w:id="2"/>
      </w:r>
      <w:r w:rsidRPr="001C101E">
        <w:rPr>
          <w:rFonts w:ascii="Times New Roman" w:hAnsi="Times New Roman" w:cs="Times New Roman"/>
          <w:color w:val="000000"/>
          <w:sz w:val="24"/>
          <w:szCs w:val="24"/>
        </w:rPr>
        <w:t xml:space="preserve"> of thumbnail images</w:t>
      </w:r>
      <w:r w:rsidR="003C1556">
        <w:rPr>
          <w:rFonts w:ascii="Times New Roman" w:hAnsi="Times New Roman" w:cs="Times New Roman"/>
          <w:color w:val="000000"/>
          <w:sz w:val="24"/>
          <w:szCs w:val="24"/>
        </w:rPr>
        <w:t xml:space="preserve"> rendered in a JavaScript Document Object Model (DOM) document</w:t>
      </w:r>
      <w:r w:rsidRPr="001C101E">
        <w:rPr>
          <w:rFonts w:ascii="Times New Roman" w:hAnsi="Times New Roman" w:cs="Times New Roman"/>
          <w:color w:val="000000"/>
          <w:sz w:val="24"/>
          <w:szCs w:val="24"/>
        </w:rPr>
        <w:t>.</w:t>
      </w:r>
      <w:r w:rsidR="003C1556">
        <w:rPr>
          <w:rFonts w:ascii="Times New Roman" w:hAnsi="Times New Roman" w:cs="Times New Roman"/>
          <w:color w:val="000000"/>
          <w:sz w:val="24"/>
          <w:szCs w:val="24"/>
        </w:rPr>
        <w:t xml:space="preserve">  The </w:t>
      </w:r>
      <w:proofErr w:type="spellStart"/>
      <w:r w:rsidR="003C1556">
        <w:rPr>
          <w:rFonts w:ascii="Times New Roman" w:hAnsi="Times New Roman" w:cs="Times New Roman"/>
          <w:color w:val="000000"/>
          <w:sz w:val="24"/>
          <w:szCs w:val="24"/>
        </w:rPr>
        <w:t>jQuery</w:t>
      </w:r>
      <w:proofErr w:type="spellEnd"/>
      <w:r w:rsidR="003C1556">
        <w:rPr>
          <w:rFonts w:ascii="Times New Roman" w:hAnsi="Times New Roman" w:cs="Times New Roman"/>
          <w:color w:val="000000"/>
          <w:sz w:val="24"/>
          <w:szCs w:val="24"/>
        </w:rPr>
        <w:t xml:space="preserve"> toolkit</w:t>
      </w:r>
      <w:r w:rsidR="003C1556">
        <w:rPr>
          <w:rStyle w:val="EndnoteReference"/>
          <w:rFonts w:ascii="Times New Roman" w:hAnsi="Times New Roman" w:cs="Times New Roman"/>
          <w:color w:val="000000"/>
          <w:sz w:val="24"/>
          <w:szCs w:val="24"/>
        </w:rPr>
        <w:endnoteReference w:id="3"/>
      </w:r>
      <w:r w:rsidRPr="001C101E">
        <w:rPr>
          <w:rFonts w:ascii="Times New Roman" w:hAnsi="Times New Roman" w:cs="Times New Roman"/>
          <w:color w:val="000000"/>
          <w:sz w:val="24"/>
          <w:szCs w:val="24"/>
        </w:rPr>
        <w:t xml:space="preserve"> </w:t>
      </w:r>
      <w:r w:rsidR="003C1556">
        <w:rPr>
          <w:rFonts w:ascii="Times New Roman" w:hAnsi="Times New Roman" w:cs="Times New Roman"/>
          <w:color w:val="000000"/>
          <w:sz w:val="24"/>
          <w:szCs w:val="24"/>
        </w:rPr>
        <w:t xml:space="preserve">is used to manipulate the DOM. </w:t>
      </w:r>
      <w:r w:rsidRPr="001C101E">
        <w:rPr>
          <w:rFonts w:ascii="Times New Roman" w:hAnsi="Times New Roman" w:cs="Times New Roman"/>
          <w:color w:val="000000"/>
          <w:sz w:val="24"/>
          <w:szCs w:val="24"/>
        </w:rPr>
        <w:t>Clicking on an image will generate a tree display of the building hierarchy to which that image belongs. Th</w:t>
      </w:r>
      <w:r>
        <w:rPr>
          <w:rFonts w:ascii="Times New Roman" w:hAnsi="Times New Roman" w:cs="Times New Roman"/>
          <w:color w:val="000000"/>
          <w:sz w:val="24"/>
          <w:szCs w:val="24"/>
        </w:rPr>
        <w:t xml:space="preserve">is display is generated by the </w:t>
      </w:r>
      <w:r w:rsidR="007F48FB">
        <w:rPr>
          <w:rFonts w:ascii="Times New Roman" w:hAnsi="Times New Roman" w:cs="Times New Roman"/>
          <w:color w:val="000000"/>
          <w:sz w:val="24"/>
          <w:szCs w:val="24"/>
        </w:rPr>
        <w:t>J</w:t>
      </w:r>
      <w:r w:rsidRPr="001C101E">
        <w:rPr>
          <w:rFonts w:ascii="Times New Roman" w:hAnsi="Times New Roman" w:cs="Times New Roman"/>
          <w:color w:val="000000"/>
          <w:sz w:val="24"/>
          <w:szCs w:val="24"/>
        </w:rPr>
        <w:t>ava</w:t>
      </w:r>
      <w:r w:rsidR="007F48FB">
        <w:rPr>
          <w:rFonts w:ascii="Times New Roman" w:hAnsi="Times New Roman" w:cs="Times New Roman"/>
          <w:color w:val="000000"/>
          <w:sz w:val="24"/>
          <w:szCs w:val="24"/>
        </w:rPr>
        <w:t>S</w:t>
      </w:r>
      <w:r w:rsidRPr="001C101E">
        <w:rPr>
          <w:rFonts w:ascii="Times New Roman" w:hAnsi="Times New Roman" w:cs="Times New Roman"/>
          <w:color w:val="000000"/>
          <w:sz w:val="24"/>
          <w:szCs w:val="24"/>
        </w:rPr>
        <w:t xml:space="preserve">cript </w:t>
      </w:r>
      <w:proofErr w:type="spellStart"/>
      <w:r w:rsidRPr="001C101E">
        <w:rPr>
          <w:rFonts w:ascii="Times New Roman" w:hAnsi="Times New Roman" w:cs="Times New Roman"/>
          <w:color w:val="000000"/>
          <w:sz w:val="24"/>
          <w:szCs w:val="24"/>
        </w:rPr>
        <w:t>InfoVis</w:t>
      </w:r>
      <w:proofErr w:type="spellEnd"/>
      <w:r w:rsidRPr="001C101E">
        <w:rPr>
          <w:rFonts w:ascii="Times New Roman" w:hAnsi="Times New Roman" w:cs="Times New Roman"/>
          <w:color w:val="000000"/>
          <w:sz w:val="24"/>
          <w:szCs w:val="24"/>
        </w:rPr>
        <w:t xml:space="preserve"> Toolkit</w:t>
      </w:r>
      <w:r w:rsidR="00345C64">
        <w:rPr>
          <w:rStyle w:val="EndnoteReference"/>
          <w:rFonts w:ascii="Times New Roman" w:hAnsi="Times New Roman" w:cs="Times New Roman"/>
          <w:color w:val="000000"/>
          <w:sz w:val="24"/>
          <w:szCs w:val="24"/>
        </w:rPr>
        <w:endnoteReference w:id="4"/>
      </w:r>
      <w:r w:rsidR="00345C64">
        <w:rPr>
          <w:rFonts w:ascii="Times New Roman" w:hAnsi="Times New Roman" w:cs="Times New Roman"/>
          <w:color w:val="000000"/>
          <w:sz w:val="24"/>
          <w:szCs w:val="24"/>
        </w:rPr>
        <w:t xml:space="preserve"> </w:t>
      </w:r>
      <w:r w:rsidRPr="001C101E">
        <w:rPr>
          <w:rFonts w:ascii="Times New Roman" w:hAnsi="Times New Roman" w:cs="Times New Roman"/>
          <w:color w:val="000000"/>
          <w:sz w:val="24"/>
          <w:szCs w:val="24"/>
        </w:rPr>
        <w:t>as a '</w:t>
      </w:r>
      <w:proofErr w:type="spellStart"/>
      <w:r w:rsidRPr="001C101E">
        <w:rPr>
          <w:rFonts w:ascii="Times New Roman" w:hAnsi="Times New Roman" w:cs="Times New Roman"/>
          <w:color w:val="000000"/>
          <w:sz w:val="24"/>
          <w:szCs w:val="24"/>
        </w:rPr>
        <w:t>Hypertree</w:t>
      </w:r>
      <w:proofErr w:type="spellEnd"/>
      <w:r w:rsidRPr="001C101E">
        <w:rPr>
          <w:rFonts w:ascii="Times New Roman" w:hAnsi="Times New Roman" w:cs="Times New Roman"/>
          <w:color w:val="000000"/>
          <w:sz w:val="24"/>
          <w:szCs w:val="24"/>
        </w:rPr>
        <w:t xml:space="preserve">,' </w:t>
      </w:r>
      <w:proofErr w:type="gramStart"/>
      <w:r w:rsidRPr="001C101E">
        <w:rPr>
          <w:rFonts w:ascii="Times New Roman" w:hAnsi="Times New Roman" w:cs="Times New Roman"/>
          <w:color w:val="000000"/>
          <w:sz w:val="24"/>
          <w:szCs w:val="24"/>
        </w:rPr>
        <w:t>a Hyperbolic Tree/Graph visualization</w:t>
      </w:r>
      <w:proofErr w:type="gramEnd"/>
      <w:r w:rsidR="00DB1335">
        <w:rPr>
          <w:rFonts w:ascii="Times New Roman" w:hAnsi="Times New Roman" w:cs="Times New Roman"/>
          <w:color w:val="000000"/>
          <w:sz w:val="24"/>
          <w:szCs w:val="24"/>
        </w:rPr>
        <w:t xml:space="preserve"> [Figures 1-2]</w:t>
      </w:r>
      <w:r w:rsidRPr="001C101E">
        <w:rPr>
          <w:rFonts w:ascii="Times New Roman" w:hAnsi="Times New Roman" w:cs="Times New Roman"/>
          <w:color w:val="000000"/>
          <w:sz w:val="24"/>
          <w:szCs w:val="24"/>
        </w:rPr>
        <w:t>.</w:t>
      </w:r>
      <w:r w:rsidRPr="001C101E">
        <w:rPr>
          <w:color w:val="000000"/>
        </w:rPr>
        <w:t xml:space="preserve"> </w:t>
      </w:r>
    </w:p>
    <w:p w14:paraId="69A492D2" w14:textId="77777777" w:rsidR="00C348D9" w:rsidRPr="001C101E" w:rsidRDefault="00C348D9" w:rsidP="001C101E">
      <w:pPr>
        <w:rPr>
          <w:rFonts w:ascii="Times" w:eastAsia="Times New Roman" w:hAnsi="Times"/>
          <w:sz w:val="20"/>
          <w:szCs w:val="20"/>
        </w:rPr>
      </w:pPr>
    </w:p>
    <w:p w14:paraId="286945BE" w14:textId="1F52465C" w:rsidR="00C348D9" w:rsidRDefault="00CB6D59" w:rsidP="00DB1335">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The</w:t>
      </w:r>
      <w:r w:rsidR="00C348D9" w:rsidRPr="001C101E">
        <w:rPr>
          <w:rFonts w:ascii="Times New Roman" w:hAnsi="Times New Roman" w:cs="Times New Roman"/>
          <w:color w:val="000000"/>
          <w:sz w:val="24"/>
          <w:szCs w:val="24"/>
        </w:rPr>
        <w:t xml:space="preserve"> display can be navigated to display each work and sub</w:t>
      </w:r>
      <w:r w:rsidR="00C348D9">
        <w:rPr>
          <w:rFonts w:ascii="Times New Roman" w:hAnsi="Times New Roman" w:cs="Times New Roman"/>
          <w:color w:val="000000"/>
          <w:sz w:val="24"/>
          <w:szCs w:val="24"/>
        </w:rPr>
        <w:t>-</w:t>
      </w:r>
      <w:r w:rsidR="00C348D9" w:rsidRPr="001C101E">
        <w:rPr>
          <w:rFonts w:ascii="Times New Roman" w:hAnsi="Times New Roman" w:cs="Times New Roman"/>
          <w:color w:val="000000"/>
          <w:sz w:val="24"/>
          <w:szCs w:val="24"/>
        </w:rPr>
        <w:t>work of the hierarchy. Right clicking (control click) on a centered node in this tree will display a carousel of all the images associated with that node</w:t>
      </w:r>
      <w:r w:rsidR="00DB1335">
        <w:rPr>
          <w:rFonts w:ascii="Times New Roman" w:hAnsi="Times New Roman" w:cs="Times New Roman"/>
          <w:color w:val="000000"/>
          <w:sz w:val="24"/>
          <w:szCs w:val="24"/>
        </w:rPr>
        <w:t xml:space="preserve"> [Figure 3]</w:t>
      </w:r>
      <w:r w:rsidR="00C348D9" w:rsidRPr="001C101E">
        <w:rPr>
          <w:rFonts w:ascii="Times New Roman" w:hAnsi="Times New Roman" w:cs="Times New Roman"/>
          <w:color w:val="000000"/>
          <w:sz w:val="24"/>
          <w:szCs w:val="24"/>
        </w:rPr>
        <w:t xml:space="preserve">. </w:t>
      </w:r>
      <w:r w:rsidR="00DB1335">
        <w:rPr>
          <w:rFonts w:ascii="Times New Roman" w:hAnsi="Times New Roman" w:cs="Times New Roman"/>
          <w:color w:val="000000"/>
          <w:sz w:val="24"/>
          <w:szCs w:val="24"/>
        </w:rPr>
        <w:t>The user may also display the metadata associated with the work [Figure 4].  Clicking on one of the</w:t>
      </w:r>
      <w:r w:rsidR="00C348D9" w:rsidRPr="001C101E">
        <w:rPr>
          <w:rFonts w:ascii="Times New Roman" w:hAnsi="Times New Roman" w:cs="Times New Roman"/>
          <w:color w:val="000000"/>
          <w:sz w:val="24"/>
          <w:szCs w:val="24"/>
        </w:rPr>
        <w:t xml:space="preserve"> images </w:t>
      </w:r>
      <w:r w:rsidR="00DB1335">
        <w:rPr>
          <w:rFonts w:ascii="Times New Roman" w:hAnsi="Times New Roman" w:cs="Times New Roman"/>
          <w:color w:val="000000"/>
          <w:sz w:val="24"/>
          <w:szCs w:val="24"/>
        </w:rPr>
        <w:t xml:space="preserve">in the carousel </w:t>
      </w:r>
      <w:r w:rsidR="00C348D9" w:rsidRPr="001C101E">
        <w:rPr>
          <w:rFonts w:ascii="Times New Roman" w:hAnsi="Times New Roman" w:cs="Times New Roman"/>
          <w:color w:val="000000"/>
          <w:sz w:val="24"/>
          <w:szCs w:val="24"/>
        </w:rPr>
        <w:t>will display the full sized image in a modal dialog</w:t>
      </w:r>
      <w:r w:rsidR="00C348D9">
        <w:rPr>
          <w:rStyle w:val="EndnoteReference"/>
          <w:rFonts w:ascii="Times New Roman" w:hAnsi="Times New Roman" w:cs="Times New Roman"/>
          <w:color w:val="000000"/>
          <w:sz w:val="24"/>
          <w:szCs w:val="24"/>
        </w:rPr>
        <w:endnoteReference w:id="5"/>
      </w:r>
      <w:r w:rsidR="00DB1335">
        <w:rPr>
          <w:rFonts w:ascii="Times New Roman" w:hAnsi="Times New Roman" w:cs="Times New Roman"/>
          <w:color w:val="000000"/>
          <w:sz w:val="24"/>
          <w:szCs w:val="24"/>
        </w:rPr>
        <w:t xml:space="preserve"> [Figure 5].  T</w:t>
      </w:r>
      <w:r w:rsidR="00C348D9" w:rsidRPr="001C101E">
        <w:rPr>
          <w:rFonts w:ascii="Times New Roman" w:hAnsi="Times New Roman" w:cs="Times New Roman"/>
          <w:color w:val="000000"/>
          <w:sz w:val="24"/>
          <w:szCs w:val="24"/>
        </w:rPr>
        <w:t xml:space="preserve">he metadata for a given image can </w:t>
      </w:r>
      <w:r w:rsidR="00DB1335">
        <w:rPr>
          <w:rFonts w:ascii="Times New Roman" w:hAnsi="Times New Roman" w:cs="Times New Roman"/>
          <w:color w:val="000000"/>
          <w:sz w:val="24"/>
          <w:szCs w:val="24"/>
        </w:rPr>
        <w:t xml:space="preserve">also </w:t>
      </w:r>
      <w:r w:rsidR="00C348D9" w:rsidRPr="001C101E">
        <w:rPr>
          <w:rFonts w:ascii="Times New Roman" w:hAnsi="Times New Roman" w:cs="Times New Roman"/>
          <w:color w:val="000000"/>
          <w:sz w:val="24"/>
          <w:szCs w:val="24"/>
        </w:rPr>
        <w:t xml:space="preserve">be displayed </w:t>
      </w:r>
      <w:r w:rsidR="00DB1335">
        <w:rPr>
          <w:rFonts w:ascii="Times New Roman" w:hAnsi="Times New Roman" w:cs="Times New Roman"/>
          <w:color w:val="000000"/>
          <w:sz w:val="24"/>
          <w:szCs w:val="24"/>
        </w:rPr>
        <w:t>[Figure 6]</w:t>
      </w:r>
      <w:r w:rsidR="00C348D9" w:rsidRPr="001C101E">
        <w:rPr>
          <w:rFonts w:ascii="Times New Roman" w:hAnsi="Times New Roman" w:cs="Times New Roman"/>
          <w:color w:val="000000"/>
          <w:sz w:val="24"/>
          <w:szCs w:val="24"/>
        </w:rPr>
        <w:t xml:space="preserve">. </w:t>
      </w:r>
    </w:p>
    <w:p w14:paraId="4A2BD2C8" w14:textId="77777777" w:rsidR="00C348D9" w:rsidRDefault="00C348D9" w:rsidP="00A85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269A821B" w14:textId="7E42ED10" w:rsidR="00A76361" w:rsidRDefault="00A854EE" w:rsidP="00A85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7F48FB">
        <w:rPr>
          <w:color w:val="000000"/>
        </w:rPr>
        <w:t xml:space="preserve">The thesaurus facility consists of an expanding tree display of the subject terms used in the Brumfield database </w:t>
      </w:r>
      <w:r w:rsidR="007F48FB">
        <w:rPr>
          <w:color w:val="000000"/>
        </w:rPr>
        <w:t>that</w:t>
      </w:r>
      <w:r w:rsidRPr="007F48FB">
        <w:rPr>
          <w:color w:val="000000"/>
        </w:rPr>
        <w:t xml:space="preserve"> are drawn from the Getty Art and Architecture Thesaurus. </w:t>
      </w:r>
      <w:proofErr w:type="gramStart"/>
      <w:r w:rsidRPr="007F48FB">
        <w:rPr>
          <w:color w:val="000000"/>
        </w:rPr>
        <w:t xml:space="preserve">This display is generated by the </w:t>
      </w:r>
      <w:proofErr w:type="spellStart"/>
      <w:r w:rsidRPr="007F48FB">
        <w:rPr>
          <w:color w:val="000000"/>
        </w:rPr>
        <w:t>InfoVis</w:t>
      </w:r>
      <w:proofErr w:type="spellEnd"/>
      <w:r w:rsidRPr="007F48FB">
        <w:rPr>
          <w:color w:val="000000"/>
        </w:rPr>
        <w:t xml:space="preserve"> Toolkit as a '</w:t>
      </w:r>
      <w:proofErr w:type="spellStart"/>
      <w:r w:rsidRPr="007F48FB">
        <w:rPr>
          <w:color w:val="000000"/>
        </w:rPr>
        <w:t>Spacetree</w:t>
      </w:r>
      <w:proofErr w:type="spellEnd"/>
      <w:r w:rsidRPr="007F48FB">
        <w:rPr>
          <w:color w:val="000000"/>
        </w:rPr>
        <w:t>'</w:t>
      </w:r>
      <w:proofErr w:type="gramEnd"/>
      <w:r w:rsidR="00DB1335">
        <w:rPr>
          <w:color w:val="000000"/>
        </w:rPr>
        <w:t xml:space="preserve"> [Figure 7</w:t>
      </w:r>
      <w:r w:rsidR="0064145A">
        <w:rPr>
          <w:color w:val="000000"/>
        </w:rPr>
        <w:t>]</w:t>
      </w:r>
      <w:r w:rsidRPr="007F48FB">
        <w:rPr>
          <w:color w:val="000000"/>
        </w:rPr>
        <w:t xml:space="preserve">. The tree display can be browsed, and </w:t>
      </w:r>
      <w:r w:rsidR="001462D9" w:rsidRPr="007F48FB">
        <w:rPr>
          <w:color w:val="000000"/>
        </w:rPr>
        <w:t>right clicking</w:t>
      </w:r>
      <w:r w:rsidRPr="007F48FB">
        <w:rPr>
          <w:color w:val="000000"/>
        </w:rPr>
        <w:t xml:space="preserve"> on any term displayed as an ellipse (to indicate its presence in the database) will add that term to a subject-term field of the search form. Currently, the </w:t>
      </w:r>
      <w:r w:rsidR="00504C4E" w:rsidRPr="007F48FB">
        <w:rPr>
          <w:color w:val="000000"/>
        </w:rPr>
        <w:t xml:space="preserve">subset of thesaurus data present in the database </w:t>
      </w:r>
      <w:r w:rsidRPr="007F48FB">
        <w:rPr>
          <w:color w:val="000000"/>
        </w:rPr>
        <w:t xml:space="preserve">is </w:t>
      </w:r>
      <w:r w:rsidR="00504C4E" w:rsidRPr="007F48FB">
        <w:rPr>
          <w:color w:val="000000"/>
        </w:rPr>
        <w:t>extracted in a batch process and used to create a Java</w:t>
      </w:r>
      <w:r w:rsidR="007F48FB">
        <w:rPr>
          <w:color w:val="000000"/>
        </w:rPr>
        <w:t>S</w:t>
      </w:r>
      <w:r w:rsidR="00504C4E" w:rsidRPr="007F48FB">
        <w:rPr>
          <w:color w:val="000000"/>
        </w:rPr>
        <w:t xml:space="preserve">cript </w:t>
      </w:r>
      <w:r w:rsidR="001462D9">
        <w:rPr>
          <w:color w:val="000000"/>
        </w:rPr>
        <w:t>Object Notation (JSON) object; a more scalable approach would be to create the JSON objects at runtime depending on the portion of the hierarchy being navigated at the time.</w:t>
      </w:r>
    </w:p>
    <w:p w14:paraId="6EECBB95" w14:textId="77777777" w:rsidR="001462D9" w:rsidRDefault="001462D9" w:rsidP="00A85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736796FC" w14:textId="684068A2" w:rsidR="00FB7B29" w:rsidRDefault="00A76361" w:rsidP="00FB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color w:val="000000"/>
        </w:rPr>
        <w:t xml:space="preserve">The intent of this project was to develop an interface that fully exposed the hierarchy encoded in the metadata, and allowed the user to explore those relationships.  In this, we were not successful.  </w:t>
      </w:r>
      <w:r w:rsidR="00D5324B" w:rsidRPr="00FB7B29">
        <w:rPr>
          <w:bCs/>
        </w:rPr>
        <w:t xml:space="preserve">The newness in practice of the metadata scheme described above generated some problems, as the library cataloging personnel and the assistants working </w:t>
      </w:r>
      <w:r w:rsidR="00D5324B" w:rsidRPr="00FB7B29">
        <w:rPr>
          <w:bCs/>
        </w:rPr>
        <w:lastRenderedPageBreak/>
        <w:t xml:space="preserve">under their supervision sometimes had difficulty when creating the metadata for the Brumfield images required departures from conventional library cataloging procedures, and </w:t>
      </w:r>
      <w:r w:rsidR="00417F45">
        <w:rPr>
          <w:bCs/>
        </w:rPr>
        <w:t>resulted</w:t>
      </w:r>
      <w:r w:rsidR="00FB7B29">
        <w:rPr>
          <w:bCs/>
        </w:rPr>
        <w:t xml:space="preserve"> in </w:t>
      </w:r>
      <w:r w:rsidR="00345C64">
        <w:rPr>
          <w:bCs/>
        </w:rPr>
        <w:t>some inconsistencies.</w:t>
      </w:r>
    </w:p>
    <w:p w14:paraId="03B68A7C" w14:textId="77777777" w:rsidR="00FB7B29" w:rsidRDefault="00FB7B29" w:rsidP="00FB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14:paraId="0CEB7B16" w14:textId="7F470917" w:rsidR="00FB7B29" w:rsidRDefault="00FB7B29" w:rsidP="00FB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T</w:t>
      </w:r>
      <w:r w:rsidR="00D5324B" w:rsidRPr="00FB7B29">
        <w:rPr>
          <w:bCs/>
        </w:rPr>
        <w:t xml:space="preserve">here are also redundancies and omissions in the metadata in its present state. </w:t>
      </w:r>
      <w:r w:rsidR="00345C64">
        <w:rPr>
          <w:bCs/>
        </w:rPr>
        <w:t xml:space="preserve">During implementation, we discovered that the hierarchies </w:t>
      </w:r>
      <w:r w:rsidR="0060361E">
        <w:rPr>
          <w:bCs/>
        </w:rPr>
        <w:t xml:space="preserve">varied in their completeness.  In some cases, the metadata specialists were not able to identify an element with sufficient accuracy to place it in a hierarchy.  In other cases, </w:t>
      </w:r>
      <w:r w:rsidR="003A6190">
        <w:rPr>
          <w:bCs/>
        </w:rPr>
        <w:t>appropriate subject terms were not assigned.  Finally, and not unexpectedly, t</w:t>
      </w:r>
      <w:r w:rsidR="0060361E">
        <w:rPr>
          <w:bCs/>
        </w:rPr>
        <w:t xml:space="preserve">here were simply lacunae in the corpus; there may have been photographs of several related buildings but no photograph of their common parent element (e.g., a street or a campus). </w:t>
      </w:r>
    </w:p>
    <w:p w14:paraId="131387ED" w14:textId="77777777" w:rsidR="00FB7B29" w:rsidRDefault="00FB7B29" w:rsidP="00FB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14:paraId="13738C25" w14:textId="11475A5F" w:rsidR="0060361E" w:rsidRPr="00730CFD" w:rsidRDefault="0060361E" w:rsidP="00603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730CFD">
        <w:rPr>
          <w:color w:val="000000"/>
        </w:rPr>
        <w:t xml:space="preserve">The relatively consistent and widespread use of the Getty Art and Architecture Thesaurus of terms within the Brumfield database is one of its greatest strengths. </w:t>
      </w:r>
      <w:r w:rsidR="004D24A9" w:rsidRPr="00730CFD">
        <w:rPr>
          <w:color w:val="000000"/>
        </w:rPr>
        <w:t xml:space="preserve">In the </w:t>
      </w:r>
      <w:r w:rsidR="007028EF">
        <w:rPr>
          <w:color w:val="000000"/>
        </w:rPr>
        <w:t xml:space="preserve">translation of the original </w:t>
      </w:r>
      <w:proofErr w:type="spellStart"/>
      <w:r w:rsidR="007028EF">
        <w:rPr>
          <w:color w:val="000000"/>
        </w:rPr>
        <w:t>VRAC</w:t>
      </w:r>
      <w:r w:rsidR="004D24A9" w:rsidRPr="00730CFD">
        <w:rPr>
          <w:color w:val="000000"/>
        </w:rPr>
        <w:t>ore</w:t>
      </w:r>
      <w:proofErr w:type="spellEnd"/>
      <w:r w:rsidR="004D24A9" w:rsidRPr="00730CFD">
        <w:rPr>
          <w:color w:val="000000"/>
        </w:rPr>
        <w:t xml:space="preserve"> schema to a relational database schema, an attempt was made at a kind of faceted structure by the provision of separate tables like Subject, Creator, Style-Period, Technique, and Materials. In e</w:t>
      </w:r>
      <w:r w:rsidR="004D24A9">
        <w:rPr>
          <w:color w:val="000000"/>
        </w:rPr>
        <w:t>ach of these tables, the AAT is by far</w:t>
      </w:r>
      <w:r w:rsidR="004D24A9" w:rsidRPr="00730CFD">
        <w:rPr>
          <w:color w:val="000000"/>
        </w:rPr>
        <w:t xml:space="preserve"> the most frequently used vocabulary</w:t>
      </w:r>
      <w:r w:rsidR="004D24A9">
        <w:rPr>
          <w:color w:val="000000"/>
        </w:rPr>
        <w:t xml:space="preserve">. </w:t>
      </w:r>
      <w:r w:rsidR="004D24A9" w:rsidRPr="00730CFD">
        <w:rPr>
          <w:color w:val="000000"/>
        </w:rPr>
        <w:t>The AAT data is itself both faceted and hierarchical</w:t>
      </w:r>
      <w:r w:rsidR="004D24A9">
        <w:rPr>
          <w:color w:val="000000"/>
        </w:rPr>
        <w:t>, and w</w:t>
      </w:r>
      <w:r w:rsidR="00393A8D">
        <w:rPr>
          <w:color w:val="000000"/>
        </w:rPr>
        <w:t>e attempted to use the syndetic structure of the thesaurus to supplement</w:t>
      </w:r>
      <w:r w:rsidR="00323329">
        <w:rPr>
          <w:color w:val="000000"/>
        </w:rPr>
        <w:t xml:space="preserve"> the relationships that were explicitly encoded in the Brumfield metadata.  For example, </w:t>
      </w:r>
      <w:r w:rsidR="004D24A9">
        <w:rPr>
          <w:color w:val="000000"/>
        </w:rPr>
        <w:t>a</w:t>
      </w:r>
      <w:r w:rsidR="00323329">
        <w:rPr>
          <w:color w:val="000000"/>
        </w:rPr>
        <w:t xml:space="preserve"> user who was interested in </w:t>
      </w:r>
      <w:r w:rsidR="004D24A9">
        <w:rPr>
          <w:color w:val="000000"/>
        </w:rPr>
        <w:t xml:space="preserve">the use of </w:t>
      </w:r>
      <w:r w:rsidR="00323329">
        <w:rPr>
          <w:color w:val="000000"/>
        </w:rPr>
        <w:t xml:space="preserve">building materials </w:t>
      </w:r>
      <w:r w:rsidR="004D24A9">
        <w:rPr>
          <w:color w:val="000000"/>
        </w:rPr>
        <w:t xml:space="preserve">made from clay </w:t>
      </w:r>
      <w:r w:rsidR="004C5AE9">
        <w:rPr>
          <w:color w:val="000000"/>
        </w:rPr>
        <w:t xml:space="preserve">or clay derivatives </w:t>
      </w:r>
      <w:r w:rsidR="00323329">
        <w:rPr>
          <w:color w:val="000000"/>
        </w:rPr>
        <w:t xml:space="preserve">could use the thesaurus to </w:t>
      </w:r>
      <w:r w:rsidR="004D24A9">
        <w:rPr>
          <w:color w:val="000000"/>
        </w:rPr>
        <w:t xml:space="preserve">identify “brick” and “ceramic tile” as clay products and then retrieve photographs illustrating the use of these materials. </w:t>
      </w:r>
      <w:r w:rsidRPr="00730CFD">
        <w:rPr>
          <w:color w:val="000000"/>
        </w:rPr>
        <w:t xml:space="preserve">As </w:t>
      </w:r>
      <w:r w:rsidR="00BC5903" w:rsidRPr="00730CFD">
        <w:rPr>
          <w:color w:val="000000"/>
        </w:rPr>
        <w:t>the database</w:t>
      </w:r>
      <w:r w:rsidRPr="00730CFD">
        <w:rPr>
          <w:color w:val="000000"/>
        </w:rPr>
        <w:t xml:space="preserve"> is currently structured, however, it is impossible to make effective use of this </w:t>
      </w:r>
      <w:r w:rsidR="004D24A9">
        <w:rPr>
          <w:color w:val="000000"/>
        </w:rPr>
        <w:t>feature</w:t>
      </w:r>
      <w:r w:rsidRPr="00730CFD">
        <w:rPr>
          <w:color w:val="000000"/>
        </w:rPr>
        <w:t xml:space="preserve">. </w:t>
      </w:r>
    </w:p>
    <w:p w14:paraId="1AC111A7" w14:textId="77777777" w:rsidR="00BC5903" w:rsidRPr="00730CFD" w:rsidRDefault="00BC5903" w:rsidP="00603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7BCEFFA4" w14:textId="4405F9C5" w:rsidR="00BC5903" w:rsidRDefault="00BC5903" w:rsidP="004D24A9">
      <w:pPr>
        <w:pStyle w:val="HTMLPreformatted"/>
        <w:rPr>
          <w:rFonts w:ascii="Times New Roman" w:hAnsi="Times New Roman" w:cs="Times New Roman"/>
          <w:color w:val="000000"/>
          <w:sz w:val="24"/>
          <w:szCs w:val="24"/>
        </w:rPr>
      </w:pPr>
      <w:r w:rsidRPr="00BC5903">
        <w:rPr>
          <w:rFonts w:ascii="Times New Roman" w:hAnsi="Times New Roman" w:cs="Times New Roman"/>
          <w:color w:val="000000"/>
          <w:sz w:val="24"/>
          <w:szCs w:val="24"/>
        </w:rPr>
        <w:t>The initial obstacle to making full use of th</w:t>
      </w:r>
      <w:r w:rsidRPr="00730CFD">
        <w:rPr>
          <w:rFonts w:ascii="Times New Roman" w:hAnsi="Times New Roman" w:cs="Times New Roman"/>
          <w:color w:val="000000"/>
          <w:sz w:val="24"/>
          <w:szCs w:val="24"/>
        </w:rPr>
        <w:t>e Getty terms in the interface wa</w:t>
      </w:r>
      <w:r w:rsidRPr="00BC5903">
        <w:rPr>
          <w:rFonts w:ascii="Times New Roman" w:hAnsi="Times New Roman" w:cs="Times New Roman"/>
          <w:color w:val="000000"/>
          <w:sz w:val="24"/>
          <w:szCs w:val="24"/>
        </w:rPr>
        <w:t xml:space="preserve">s the fact that </w:t>
      </w:r>
      <w:r w:rsidR="00C55D84">
        <w:rPr>
          <w:rFonts w:ascii="Times New Roman" w:hAnsi="Times New Roman" w:cs="Times New Roman"/>
          <w:color w:val="000000"/>
          <w:sz w:val="24"/>
          <w:szCs w:val="24"/>
        </w:rPr>
        <w:t xml:space="preserve">many of </w:t>
      </w:r>
      <w:r w:rsidRPr="00BC5903">
        <w:rPr>
          <w:rFonts w:ascii="Times New Roman" w:hAnsi="Times New Roman" w:cs="Times New Roman"/>
          <w:color w:val="000000"/>
          <w:sz w:val="24"/>
          <w:szCs w:val="24"/>
        </w:rPr>
        <w:t>the terms used in the cataloging included parenthetical expressions to disambiguate the</w:t>
      </w:r>
      <w:r w:rsidR="00C55D84">
        <w:rPr>
          <w:rFonts w:ascii="Times New Roman" w:hAnsi="Times New Roman" w:cs="Times New Roman"/>
          <w:color w:val="000000"/>
          <w:sz w:val="24"/>
          <w:szCs w:val="24"/>
        </w:rPr>
        <w:t>ir hierarchical antecedents</w:t>
      </w:r>
      <w:r w:rsidRPr="00BC5903">
        <w:rPr>
          <w:rFonts w:ascii="Times New Roman" w:hAnsi="Times New Roman" w:cs="Times New Roman"/>
          <w:color w:val="000000"/>
          <w:sz w:val="24"/>
          <w:szCs w:val="24"/>
        </w:rPr>
        <w:t xml:space="preserve">. For example, the term "towers" appears twice in the </w:t>
      </w:r>
      <w:r w:rsidRPr="00730CFD">
        <w:rPr>
          <w:rFonts w:ascii="Times New Roman" w:hAnsi="Times New Roman" w:cs="Times New Roman"/>
          <w:color w:val="000000"/>
          <w:sz w:val="24"/>
          <w:szCs w:val="24"/>
        </w:rPr>
        <w:t>AAT</w:t>
      </w:r>
      <w:r w:rsidRPr="00BC5903">
        <w:rPr>
          <w:rFonts w:ascii="Times New Roman" w:hAnsi="Times New Roman" w:cs="Times New Roman"/>
          <w:color w:val="000000"/>
          <w:sz w:val="24"/>
          <w:szCs w:val="24"/>
        </w:rPr>
        <w:t xml:space="preserve">, once in the context of the "Built Environment" hierarchy, and again in the "Components" hierarchy. </w:t>
      </w:r>
      <w:r w:rsidRPr="00730CFD">
        <w:rPr>
          <w:rFonts w:ascii="Times New Roman" w:hAnsi="Times New Roman" w:cs="Times New Roman"/>
          <w:color w:val="000000"/>
          <w:sz w:val="24"/>
          <w:szCs w:val="24"/>
        </w:rPr>
        <w:t xml:space="preserve">The metadata specialists disambiguated these two separate terms by the use of parentheses: "towers (single built works)", and "towers (building divisions)".  The disambiguation provided by the parenthetical expression cannot easily be separated from the subject term, that is, the parenthetical expression is not always merely the term's hierarchical parent, making it impossible to match the subject strings in the metadata to the XML-encoded thesaurus. The only reliable way to distinguish between the two instances of "tower" and their location in the hierarchy would be to use the </w:t>
      </w:r>
      <w:r w:rsidR="00730CFD" w:rsidRPr="00730CFD">
        <w:rPr>
          <w:rFonts w:ascii="Times New Roman" w:hAnsi="Times New Roman" w:cs="Times New Roman"/>
          <w:color w:val="000000"/>
          <w:sz w:val="24"/>
          <w:szCs w:val="24"/>
        </w:rPr>
        <w:t>AAT’s</w:t>
      </w:r>
      <w:r w:rsidRPr="00730CFD">
        <w:rPr>
          <w:rFonts w:ascii="Times New Roman" w:hAnsi="Times New Roman" w:cs="Times New Roman"/>
          <w:color w:val="000000"/>
          <w:sz w:val="24"/>
          <w:szCs w:val="24"/>
        </w:rPr>
        <w:t xml:space="preserve"> subject id number</w:t>
      </w:r>
      <w:r w:rsidR="00730CFD">
        <w:rPr>
          <w:rFonts w:ascii="Times New Roman" w:hAnsi="Times New Roman" w:cs="Times New Roman"/>
          <w:color w:val="000000"/>
          <w:sz w:val="24"/>
          <w:szCs w:val="24"/>
        </w:rPr>
        <w:t xml:space="preserve">, but </w:t>
      </w:r>
      <w:r w:rsidR="000712E0">
        <w:rPr>
          <w:rFonts w:ascii="Times New Roman" w:hAnsi="Times New Roman" w:cs="Times New Roman"/>
          <w:color w:val="000000"/>
          <w:sz w:val="24"/>
          <w:szCs w:val="24"/>
        </w:rPr>
        <w:t>t</w:t>
      </w:r>
      <w:r w:rsidRPr="00730CFD">
        <w:rPr>
          <w:rFonts w:ascii="Times New Roman" w:hAnsi="Times New Roman" w:cs="Times New Roman"/>
          <w:color w:val="000000"/>
          <w:sz w:val="24"/>
          <w:szCs w:val="24"/>
        </w:rPr>
        <w:t>his datum was not used in the cataloging.  This defect affects approximately 25% of the subject terms</w:t>
      </w:r>
      <w:r w:rsidR="00730CFD" w:rsidRPr="00730CFD">
        <w:rPr>
          <w:rFonts w:ascii="Times New Roman" w:hAnsi="Times New Roman" w:cs="Times New Roman"/>
          <w:color w:val="000000"/>
          <w:sz w:val="24"/>
          <w:szCs w:val="24"/>
        </w:rPr>
        <w:t xml:space="preserve"> in the Brumfield database, rendering over </w:t>
      </w:r>
      <w:r w:rsidR="00E24181">
        <w:rPr>
          <w:rFonts w:ascii="Times New Roman" w:hAnsi="Times New Roman" w:cs="Times New Roman"/>
          <w:color w:val="000000"/>
          <w:sz w:val="24"/>
          <w:szCs w:val="24"/>
        </w:rPr>
        <w:t>14</w:t>
      </w:r>
      <w:r w:rsidR="00730CFD" w:rsidRPr="00730CFD">
        <w:rPr>
          <w:rFonts w:ascii="Times New Roman" w:hAnsi="Times New Roman" w:cs="Times New Roman"/>
          <w:color w:val="000000"/>
          <w:sz w:val="24"/>
          <w:szCs w:val="24"/>
        </w:rPr>
        <w:t xml:space="preserve">,000 </w:t>
      </w:r>
      <w:r w:rsidR="00E24181">
        <w:rPr>
          <w:rFonts w:ascii="Times New Roman" w:hAnsi="Times New Roman" w:cs="Times New Roman"/>
          <w:color w:val="000000"/>
          <w:sz w:val="24"/>
          <w:szCs w:val="24"/>
        </w:rPr>
        <w:t>images</w:t>
      </w:r>
      <w:r w:rsidR="00DB1335">
        <w:rPr>
          <w:rFonts w:ascii="Times New Roman" w:hAnsi="Times New Roman" w:cs="Times New Roman"/>
          <w:color w:val="000000"/>
          <w:sz w:val="24"/>
          <w:szCs w:val="24"/>
        </w:rPr>
        <w:t xml:space="preserve"> </w:t>
      </w:r>
      <w:r w:rsidR="00730CFD" w:rsidRPr="00730CFD">
        <w:rPr>
          <w:rFonts w:ascii="Times New Roman" w:hAnsi="Times New Roman" w:cs="Times New Roman"/>
          <w:color w:val="000000"/>
          <w:sz w:val="24"/>
          <w:szCs w:val="24"/>
        </w:rPr>
        <w:t>irretrievable via the thesaurus</w:t>
      </w:r>
      <w:r w:rsidR="00F2653D">
        <w:rPr>
          <w:rFonts w:ascii="Times New Roman" w:hAnsi="Times New Roman" w:cs="Times New Roman"/>
          <w:color w:val="000000"/>
          <w:sz w:val="24"/>
          <w:szCs w:val="24"/>
        </w:rPr>
        <w:t xml:space="preserve"> term</w:t>
      </w:r>
      <w:r w:rsidRPr="00730CFD">
        <w:rPr>
          <w:rFonts w:ascii="Times New Roman" w:hAnsi="Times New Roman" w:cs="Times New Roman"/>
          <w:color w:val="000000"/>
          <w:sz w:val="24"/>
          <w:szCs w:val="24"/>
        </w:rPr>
        <w:t xml:space="preserve">.  A similar situation exists for </w:t>
      </w:r>
      <w:r w:rsidR="00730CFD" w:rsidRPr="00730CFD">
        <w:rPr>
          <w:rFonts w:ascii="Times New Roman" w:hAnsi="Times New Roman" w:cs="Times New Roman"/>
          <w:color w:val="000000"/>
          <w:sz w:val="24"/>
          <w:szCs w:val="24"/>
        </w:rPr>
        <w:t>the "creator," "</w:t>
      </w:r>
      <w:proofErr w:type="spellStart"/>
      <w:r w:rsidR="00730CFD" w:rsidRPr="00730CFD">
        <w:rPr>
          <w:rFonts w:ascii="Times New Roman" w:hAnsi="Times New Roman" w:cs="Times New Roman"/>
          <w:color w:val="000000"/>
          <w:sz w:val="24"/>
          <w:szCs w:val="24"/>
        </w:rPr>
        <w:t>styleperiod</w:t>
      </w:r>
      <w:proofErr w:type="spellEnd"/>
      <w:r w:rsidR="00730CFD" w:rsidRPr="00730CFD">
        <w:rPr>
          <w:rFonts w:ascii="Times New Roman" w:hAnsi="Times New Roman" w:cs="Times New Roman"/>
          <w:color w:val="000000"/>
          <w:sz w:val="24"/>
          <w:szCs w:val="24"/>
        </w:rPr>
        <w:t>," "materials," and "techniques" metadata fields.</w:t>
      </w:r>
    </w:p>
    <w:p w14:paraId="7E6FA37B" w14:textId="77777777" w:rsidR="000712E0" w:rsidRDefault="000712E0" w:rsidP="004D24A9">
      <w:pPr>
        <w:pStyle w:val="HTMLPreformatted"/>
        <w:rPr>
          <w:rFonts w:ascii="Times New Roman" w:hAnsi="Times New Roman" w:cs="Times New Roman"/>
          <w:color w:val="000000"/>
          <w:sz w:val="24"/>
          <w:szCs w:val="24"/>
        </w:rPr>
      </w:pPr>
    </w:p>
    <w:p w14:paraId="1BDFA19E" w14:textId="787B8FFD" w:rsidR="000712E0" w:rsidRDefault="000712E0" w:rsidP="004D24A9">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It became apparent that, without substantial </w:t>
      </w:r>
      <w:r w:rsidR="005A33E5">
        <w:rPr>
          <w:rFonts w:ascii="Times New Roman" w:hAnsi="Times New Roman" w:cs="Times New Roman"/>
          <w:color w:val="000000"/>
          <w:sz w:val="24"/>
          <w:szCs w:val="24"/>
        </w:rPr>
        <w:t>revision and augmentation of</w:t>
      </w:r>
      <w:r>
        <w:rPr>
          <w:rFonts w:ascii="Times New Roman" w:hAnsi="Times New Roman" w:cs="Times New Roman"/>
          <w:color w:val="000000"/>
          <w:sz w:val="24"/>
          <w:szCs w:val="24"/>
        </w:rPr>
        <w:t xml:space="preserve"> the metadata, further development of the interface was not warranted</w:t>
      </w:r>
      <w:r w:rsidR="007028EF">
        <w:rPr>
          <w:rFonts w:ascii="Times New Roman" w:hAnsi="Times New Roman" w:cs="Times New Roman"/>
          <w:color w:val="000000"/>
          <w:sz w:val="24"/>
          <w:szCs w:val="24"/>
        </w:rPr>
        <w:t xml:space="preserve"> and work was stopped</w:t>
      </w:r>
      <w:r>
        <w:rPr>
          <w:rFonts w:ascii="Times New Roman" w:hAnsi="Times New Roman" w:cs="Times New Roman"/>
          <w:color w:val="000000"/>
          <w:sz w:val="24"/>
          <w:szCs w:val="24"/>
        </w:rPr>
        <w:t xml:space="preserve">. </w:t>
      </w:r>
      <w:r w:rsidR="004C5AE9">
        <w:rPr>
          <w:rFonts w:ascii="Times New Roman" w:hAnsi="Times New Roman" w:cs="Times New Roman"/>
          <w:color w:val="000000"/>
          <w:sz w:val="24"/>
          <w:szCs w:val="24"/>
        </w:rPr>
        <w:t xml:space="preserve">While we anticipated the need for some minor metadata work, wholesale </w:t>
      </w:r>
      <w:r w:rsidR="005A33E5">
        <w:rPr>
          <w:rFonts w:ascii="Times New Roman" w:hAnsi="Times New Roman" w:cs="Times New Roman"/>
          <w:color w:val="000000"/>
          <w:sz w:val="24"/>
          <w:szCs w:val="24"/>
        </w:rPr>
        <w:t>refactoring and enhancement</w:t>
      </w:r>
      <w:r w:rsidR="004C5AE9">
        <w:rPr>
          <w:rFonts w:ascii="Times New Roman" w:hAnsi="Times New Roman" w:cs="Times New Roman"/>
          <w:color w:val="000000"/>
          <w:sz w:val="24"/>
          <w:szCs w:val="24"/>
        </w:rPr>
        <w:t xml:space="preserve"> of the database was out of scope for the project and funds had not been requested for that </w:t>
      </w:r>
      <w:r w:rsidR="00AE1E5C">
        <w:rPr>
          <w:rFonts w:ascii="Times New Roman" w:hAnsi="Times New Roman" w:cs="Times New Roman"/>
          <w:color w:val="000000"/>
          <w:sz w:val="24"/>
          <w:szCs w:val="24"/>
        </w:rPr>
        <w:t>purpose</w:t>
      </w:r>
      <w:r w:rsidR="004C5AE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question then became, 1) how can we best expose this </w:t>
      </w:r>
      <w:r>
        <w:rPr>
          <w:rFonts w:ascii="Times New Roman" w:hAnsi="Times New Roman" w:cs="Times New Roman"/>
          <w:color w:val="000000"/>
          <w:sz w:val="24"/>
          <w:szCs w:val="24"/>
        </w:rPr>
        <w:lastRenderedPageBreak/>
        <w:t>collection to researchers given the current state of the metadata, and 2), what needs to be done to the database in order</w:t>
      </w:r>
      <w:r w:rsidR="00180C70">
        <w:rPr>
          <w:rFonts w:ascii="Times New Roman" w:hAnsi="Times New Roman" w:cs="Times New Roman"/>
          <w:color w:val="000000"/>
          <w:sz w:val="24"/>
          <w:szCs w:val="24"/>
        </w:rPr>
        <w:t xml:space="preserve"> to support the kind of </w:t>
      </w:r>
      <w:r w:rsidR="004851D2">
        <w:rPr>
          <w:rFonts w:ascii="Times New Roman" w:hAnsi="Times New Roman" w:cs="Times New Roman"/>
          <w:color w:val="000000"/>
          <w:sz w:val="24"/>
          <w:szCs w:val="24"/>
        </w:rPr>
        <w:t xml:space="preserve">discovery and </w:t>
      </w:r>
      <w:r w:rsidR="00180C70">
        <w:rPr>
          <w:rFonts w:ascii="Times New Roman" w:hAnsi="Times New Roman" w:cs="Times New Roman"/>
          <w:color w:val="000000"/>
          <w:sz w:val="24"/>
          <w:szCs w:val="24"/>
        </w:rPr>
        <w:t>exploration articulated in the original proposal.</w:t>
      </w:r>
      <w:r w:rsidR="004851D2">
        <w:rPr>
          <w:rFonts w:ascii="Times New Roman" w:hAnsi="Times New Roman" w:cs="Times New Roman"/>
          <w:color w:val="000000"/>
          <w:sz w:val="24"/>
          <w:szCs w:val="24"/>
        </w:rPr>
        <w:t xml:space="preserve">  </w:t>
      </w:r>
    </w:p>
    <w:p w14:paraId="67727C56" w14:textId="77777777" w:rsidR="004851D2" w:rsidRDefault="004851D2" w:rsidP="004D24A9">
      <w:pPr>
        <w:pStyle w:val="HTMLPreformatted"/>
        <w:rPr>
          <w:rFonts w:ascii="Times New Roman" w:hAnsi="Times New Roman" w:cs="Times New Roman"/>
          <w:color w:val="000000"/>
          <w:sz w:val="24"/>
          <w:szCs w:val="24"/>
        </w:rPr>
      </w:pPr>
    </w:p>
    <w:p w14:paraId="22E3BD63" w14:textId="5F795DA8" w:rsidR="00FB7B29" w:rsidRDefault="004C5AE9" w:rsidP="00FB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color w:val="000000"/>
        </w:rPr>
        <w:t xml:space="preserve">We have identified resources internal to the University that will allow us to import the existing metadata and associated images into </w:t>
      </w:r>
      <w:proofErr w:type="spellStart"/>
      <w:r>
        <w:rPr>
          <w:color w:val="000000"/>
        </w:rPr>
        <w:t>ContentDM</w:t>
      </w:r>
      <w:proofErr w:type="spellEnd"/>
      <w:r>
        <w:rPr>
          <w:color w:val="000000"/>
        </w:rPr>
        <w:t xml:space="preserve">, a search and retrieval system built for image retrieval. </w:t>
      </w:r>
      <w:r w:rsidR="0083502A">
        <w:rPr>
          <w:color w:val="000000"/>
        </w:rPr>
        <w:t xml:space="preserve">Although </w:t>
      </w:r>
      <w:proofErr w:type="spellStart"/>
      <w:r w:rsidR="0083502A">
        <w:rPr>
          <w:color w:val="000000"/>
        </w:rPr>
        <w:t>ContentDM</w:t>
      </w:r>
      <w:proofErr w:type="spellEnd"/>
      <w:r w:rsidR="0083502A">
        <w:rPr>
          <w:color w:val="000000"/>
        </w:rPr>
        <w:t xml:space="preserve"> does not support the kind of hierarchical exploration envisioned in our proposal, it will provide access to the collection through conventional keyword and</w:t>
      </w:r>
      <w:r w:rsidR="00D657AD">
        <w:rPr>
          <w:color w:val="000000"/>
        </w:rPr>
        <w:t xml:space="preserve"> fielded searching techniques and for some uses, this will be adequate. </w:t>
      </w:r>
      <w:r>
        <w:rPr>
          <w:color w:val="000000"/>
        </w:rPr>
        <w:t xml:space="preserve">We have used </w:t>
      </w:r>
      <w:proofErr w:type="spellStart"/>
      <w:r>
        <w:rPr>
          <w:color w:val="000000"/>
        </w:rPr>
        <w:t>ContentDM</w:t>
      </w:r>
      <w:proofErr w:type="spellEnd"/>
      <w:r>
        <w:rPr>
          <w:color w:val="000000"/>
        </w:rPr>
        <w:t xml:space="preserve"> for other image collections and are familiar with </w:t>
      </w:r>
      <w:r w:rsidR="0083502A">
        <w:rPr>
          <w:color w:val="000000"/>
        </w:rPr>
        <w:t>its</w:t>
      </w:r>
      <w:r>
        <w:rPr>
          <w:color w:val="000000"/>
        </w:rPr>
        <w:t xml:space="preserve"> Submission Information Package</w:t>
      </w:r>
      <w:r w:rsidR="0083502A">
        <w:rPr>
          <w:color w:val="000000"/>
        </w:rPr>
        <w:t xml:space="preserve"> (SIP) format for importing metadata and images. Work has begun on a test load and, barring unforeseen </w:t>
      </w:r>
      <w:proofErr w:type="gramStart"/>
      <w:r w:rsidR="0083502A">
        <w:rPr>
          <w:color w:val="000000"/>
        </w:rPr>
        <w:t>problems,</w:t>
      </w:r>
      <w:proofErr w:type="gramEnd"/>
      <w:r w:rsidR="0083502A">
        <w:rPr>
          <w:color w:val="000000"/>
        </w:rPr>
        <w:t xml:space="preserve"> the full collection should be publicly available via </w:t>
      </w:r>
      <w:proofErr w:type="spellStart"/>
      <w:r w:rsidR="0083502A">
        <w:rPr>
          <w:color w:val="000000"/>
        </w:rPr>
        <w:t>ContentDM</w:t>
      </w:r>
      <w:proofErr w:type="spellEnd"/>
      <w:r w:rsidR="0083502A">
        <w:rPr>
          <w:color w:val="000000"/>
        </w:rPr>
        <w:t xml:space="preserve"> at </w:t>
      </w:r>
      <w:hyperlink r:id="rId9" w:history="1">
        <w:r w:rsidR="0083502A" w:rsidRPr="00937419">
          <w:rPr>
            <w:rStyle w:val="Hyperlink"/>
          </w:rPr>
          <w:t>http://digital.lib.washington.edu/</w:t>
        </w:r>
      </w:hyperlink>
      <w:r w:rsidR="0083502A">
        <w:rPr>
          <w:color w:val="000000"/>
        </w:rPr>
        <w:t xml:space="preserve"> in the first quarter of 2013.</w:t>
      </w:r>
    </w:p>
    <w:p w14:paraId="465BB103" w14:textId="77777777" w:rsidR="004C5AE9" w:rsidRDefault="004C5AE9" w:rsidP="00FB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14:paraId="308694A7" w14:textId="754AFF1C" w:rsidR="00D5324B" w:rsidRDefault="005622B1" w:rsidP="00FB7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 xml:space="preserve">Longer term, we still see value in the kind of interface we originally envisioned.  </w:t>
      </w:r>
      <w:r w:rsidR="00D5324B" w:rsidRPr="00FB7B29">
        <w:rPr>
          <w:bCs/>
        </w:rPr>
        <w:t xml:space="preserve">We are seeking support within the University of Washington for a revision of the Brumfield database that will purge it of most errors and inconsistencies, </w:t>
      </w:r>
      <w:r>
        <w:rPr>
          <w:bCs/>
        </w:rPr>
        <w:t xml:space="preserve">augment the existing metadata, </w:t>
      </w:r>
      <w:r w:rsidR="00D5324B" w:rsidRPr="00FB7B29">
        <w:rPr>
          <w:bCs/>
        </w:rPr>
        <w:t xml:space="preserve">and make possible a fuller </w:t>
      </w:r>
      <w:r w:rsidR="003A6190" w:rsidRPr="00FB7B29">
        <w:rPr>
          <w:bCs/>
        </w:rPr>
        <w:t>realization</w:t>
      </w:r>
      <w:r w:rsidR="00D5324B" w:rsidRPr="00FB7B29">
        <w:rPr>
          <w:bCs/>
        </w:rPr>
        <w:t xml:space="preserve"> of the objectives described in the original proposal.</w:t>
      </w:r>
      <w:r>
        <w:rPr>
          <w:bCs/>
        </w:rPr>
        <w:t xml:space="preserve">  At a minimum, </w:t>
      </w:r>
      <w:r w:rsidR="007028EF">
        <w:rPr>
          <w:bCs/>
        </w:rPr>
        <w:t xml:space="preserve">in addition to correcting erroneous metadata, </w:t>
      </w:r>
      <w:r>
        <w:rPr>
          <w:bCs/>
        </w:rPr>
        <w:t>the following changes and additions to the database are needed:</w:t>
      </w:r>
    </w:p>
    <w:p w14:paraId="5E42CEA1" w14:textId="77777777" w:rsidR="007028EF" w:rsidRDefault="007028EF" w:rsidP="005622B1">
      <w:pPr>
        <w:pStyle w:val="HTMLPreformatted"/>
        <w:rPr>
          <w:color w:val="000000"/>
        </w:rPr>
      </w:pPr>
    </w:p>
    <w:p w14:paraId="78579B4B" w14:textId="14482DFB" w:rsidR="005622B1" w:rsidRPr="000642C5" w:rsidRDefault="005622B1" w:rsidP="007028EF">
      <w:pPr>
        <w:pStyle w:val="HTMLPreformatted"/>
        <w:numPr>
          <w:ilvl w:val="0"/>
          <w:numId w:val="3"/>
        </w:numPr>
        <w:rPr>
          <w:rFonts w:ascii="Times New Roman" w:hAnsi="Times New Roman" w:cs="Times New Roman"/>
          <w:color w:val="000000"/>
          <w:sz w:val="24"/>
          <w:szCs w:val="24"/>
        </w:rPr>
      </w:pPr>
      <w:r w:rsidRPr="000642C5">
        <w:rPr>
          <w:rFonts w:ascii="Times New Roman" w:hAnsi="Times New Roman" w:cs="Times New Roman"/>
          <w:color w:val="000000"/>
          <w:sz w:val="24"/>
          <w:szCs w:val="24"/>
        </w:rPr>
        <w:t xml:space="preserve">The "Subjects" table should be provided with an additional field: </w:t>
      </w:r>
      <w:proofErr w:type="spellStart"/>
      <w:r w:rsidRPr="000642C5">
        <w:rPr>
          <w:rFonts w:ascii="Times New Roman" w:hAnsi="Times New Roman" w:cs="Times New Roman"/>
          <w:color w:val="000000"/>
          <w:sz w:val="24"/>
          <w:szCs w:val="24"/>
        </w:rPr>
        <w:t>gettyid</w:t>
      </w:r>
      <w:proofErr w:type="spellEnd"/>
      <w:r w:rsidRPr="000642C5">
        <w:rPr>
          <w:rFonts w:ascii="Times New Roman" w:hAnsi="Times New Roman" w:cs="Times New Roman"/>
          <w:color w:val="000000"/>
          <w:sz w:val="24"/>
          <w:szCs w:val="24"/>
        </w:rPr>
        <w:t xml:space="preserve">. The </w:t>
      </w:r>
      <w:proofErr w:type="spellStart"/>
      <w:r w:rsidRPr="000642C5">
        <w:rPr>
          <w:rFonts w:ascii="Times New Roman" w:hAnsi="Times New Roman" w:cs="Times New Roman"/>
          <w:color w:val="000000"/>
          <w:sz w:val="24"/>
          <w:szCs w:val="24"/>
        </w:rPr>
        <w:t>gettyid</w:t>
      </w:r>
      <w:proofErr w:type="spellEnd"/>
      <w:r w:rsidRPr="000642C5">
        <w:rPr>
          <w:rFonts w:ascii="Times New Roman" w:hAnsi="Times New Roman" w:cs="Times New Roman"/>
          <w:color w:val="000000"/>
          <w:sz w:val="24"/>
          <w:szCs w:val="24"/>
        </w:rPr>
        <w:t xml:space="preserve"> for each subject term used in the database should be determined and supplied. Similarly, other data from the AAT might be explicitly supplied within the subjects table</w:t>
      </w:r>
      <w:proofErr w:type="gramStart"/>
      <w:r w:rsidRPr="000642C5">
        <w:rPr>
          <w:rFonts w:ascii="Times New Roman" w:hAnsi="Times New Roman" w:cs="Times New Roman"/>
          <w:color w:val="000000"/>
          <w:sz w:val="24"/>
          <w:szCs w:val="24"/>
        </w:rPr>
        <w:t>;</w:t>
      </w:r>
      <w:proofErr w:type="gramEnd"/>
      <w:r w:rsidRPr="000642C5">
        <w:rPr>
          <w:rFonts w:ascii="Times New Roman" w:hAnsi="Times New Roman" w:cs="Times New Roman"/>
          <w:color w:val="000000"/>
          <w:sz w:val="24"/>
          <w:szCs w:val="24"/>
        </w:rPr>
        <w:t xml:space="preserve"> </w:t>
      </w:r>
      <w:r w:rsidR="007028EF" w:rsidRPr="000642C5">
        <w:rPr>
          <w:rFonts w:ascii="Times New Roman" w:hAnsi="Times New Roman" w:cs="Times New Roman"/>
          <w:color w:val="000000"/>
          <w:sz w:val="24"/>
          <w:szCs w:val="24"/>
        </w:rPr>
        <w:t>notably</w:t>
      </w:r>
      <w:r w:rsidRPr="000642C5">
        <w:rPr>
          <w:rFonts w:ascii="Times New Roman" w:hAnsi="Times New Roman" w:cs="Times New Roman"/>
          <w:color w:val="000000"/>
          <w:sz w:val="24"/>
          <w:szCs w:val="24"/>
        </w:rPr>
        <w:t xml:space="preserve">, </w:t>
      </w:r>
      <w:proofErr w:type="spellStart"/>
      <w:r w:rsidRPr="000642C5">
        <w:rPr>
          <w:rFonts w:ascii="Times New Roman" w:hAnsi="Times New Roman" w:cs="Times New Roman"/>
          <w:color w:val="000000"/>
          <w:sz w:val="24"/>
          <w:szCs w:val="24"/>
        </w:rPr>
        <w:t>Parent_Subject_ID</w:t>
      </w:r>
      <w:proofErr w:type="spellEnd"/>
      <w:r w:rsidR="00DD25ED">
        <w:rPr>
          <w:rFonts w:ascii="Times New Roman" w:hAnsi="Times New Roman" w:cs="Times New Roman"/>
          <w:color w:val="000000"/>
          <w:sz w:val="24"/>
          <w:szCs w:val="24"/>
        </w:rPr>
        <w:t xml:space="preserve">, </w:t>
      </w:r>
      <w:proofErr w:type="spellStart"/>
      <w:r w:rsidR="00DD25ED">
        <w:rPr>
          <w:rFonts w:ascii="Times New Roman" w:hAnsi="Times New Roman" w:cs="Times New Roman"/>
          <w:color w:val="000000"/>
          <w:sz w:val="24"/>
          <w:szCs w:val="24"/>
        </w:rPr>
        <w:t>Record_Type</w:t>
      </w:r>
      <w:proofErr w:type="spellEnd"/>
      <w:r w:rsidR="00DD25ED">
        <w:rPr>
          <w:rFonts w:ascii="Times New Roman" w:hAnsi="Times New Roman" w:cs="Times New Roman"/>
          <w:color w:val="000000"/>
          <w:sz w:val="24"/>
          <w:szCs w:val="24"/>
        </w:rPr>
        <w:t xml:space="preserve">, and </w:t>
      </w:r>
      <w:proofErr w:type="spellStart"/>
      <w:r w:rsidR="00DD25ED">
        <w:rPr>
          <w:rFonts w:ascii="Times New Roman" w:hAnsi="Times New Roman" w:cs="Times New Roman"/>
          <w:color w:val="000000"/>
          <w:sz w:val="24"/>
          <w:szCs w:val="24"/>
        </w:rPr>
        <w:t>Facet_Code</w:t>
      </w:r>
      <w:proofErr w:type="spellEnd"/>
      <w:r w:rsidR="00DD25ED">
        <w:rPr>
          <w:rFonts w:ascii="Times New Roman" w:hAnsi="Times New Roman" w:cs="Times New Roman"/>
          <w:color w:val="000000"/>
          <w:sz w:val="24"/>
          <w:szCs w:val="24"/>
        </w:rPr>
        <w:t>. Alternatively, t</w:t>
      </w:r>
      <w:r w:rsidRPr="000642C5">
        <w:rPr>
          <w:rFonts w:ascii="Times New Roman" w:hAnsi="Times New Roman" w:cs="Times New Roman"/>
          <w:color w:val="000000"/>
          <w:sz w:val="24"/>
          <w:szCs w:val="24"/>
        </w:rPr>
        <w:t xml:space="preserve">hese </w:t>
      </w:r>
      <w:r w:rsidR="00293241">
        <w:rPr>
          <w:rFonts w:ascii="Times New Roman" w:hAnsi="Times New Roman" w:cs="Times New Roman"/>
          <w:color w:val="000000"/>
          <w:sz w:val="24"/>
          <w:szCs w:val="24"/>
        </w:rPr>
        <w:t xml:space="preserve">could </w:t>
      </w:r>
      <w:r w:rsidRPr="000642C5">
        <w:rPr>
          <w:rFonts w:ascii="Times New Roman" w:hAnsi="Times New Roman" w:cs="Times New Roman"/>
          <w:color w:val="000000"/>
          <w:sz w:val="24"/>
          <w:szCs w:val="24"/>
        </w:rPr>
        <w:t xml:space="preserve">be derived from the AAT data at run-time, but only if we have the </w:t>
      </w:r>
      <w:proofErr w:type="spellStart"/>
      <w:r w:rsidR="007028EF" w:rsidRPr="000642C5">
        <w:rPr>
          <w:rFonts w:ascii="Times New Roman" w:hAnsi="Times New Roman" w:cs="Times New Roman"/>
          <w:color w:val="000000"/>
          <w:sz w:val="24"/>
          <w:szCs w:val="24"/>
        </w:rPr>
        <w:t>gettyid</w:t>
      </w:r>
      <w:proofErr w:type="spellEnd"/>
      <w:r w:rsidRPr="000642C5">
        <w:rPr>
          <w:rFonts w:ascii="Times New Roman" w:hAnsi="Times New Roman" w:cs="Times New Roman"/>
          <w:color w:val="000000"/>
          <w:sz w:val="24"/>
          <w:szCs w:val="24"/>
        </w:rPr>
        <w:t>.</w:t>
      </w:r>
      <w:r w:rsidR="007028EF" w:rsidRPr="000642C5">
        <w:rPr>
          <w:rFonts w:ascii="Times New Roman" w:hAnsi="Times New Roman" w:cs="Times New Roman"/>
          <w:color w:val="000000"/>
          <w:sz w:val="24"/>
          <w:szCs w:val="24"/>
        </w:rPr>
        <w:t xml:space="preserve">  Similar augmentation needs to be done for other tables that use the AAT vocabulary: "creator," "</w:t>
      </w:r>
      <w:proofErr w:type="spellStart"/>
      <w:r w:rsidR="007028EF" w:rsidRPr="000642C5">
        <w:rPr>
          <w:rFonts w:ascii="Times New Roman" w:hAnsi="Times New Roman" w:cs="Times New Roman"/>
          <w:color w:val="000000"/>
          <w:sz w:val="24"/>
          <w:szCs w:val="24"/>
        </w:rPr>
        <w:t>styleperiod</w:t>
      </w:r>
      <w:proofErr w:type="spellEnd"/>
      <w:r w:rsidR="007028EF" w:rsidRPr="000642C5">
        <w:rPr>
          <w:rFonts w:ascii="Times New Roman" w:hAnsi="Times New Roman" w:cs="Times New Roman"/>
          <w:color w:val="000000"/>
          <w:sz w:val="24"/>
          <w:szCs w:val="24"/>
        </w:rPr>
        <w:t>," "materials," and "techniques".</w:t>
      </w:r>
    </w:p>
    <w:p w14:paraId="5AC95DC5" w14:textId="77777777" w:rsidR="005622B1" w:rsidRPr="000642C5" w:rsidRDefault="005622B1" w:rsidP="007028EF">
      <w:pPr>
        <w:pStyle w:val="HTMLPreformatted"/>
        <w:rPr>
          <w:rFonts w:ascii="Times New Roman" w:hAnsi="Times New Roman" w:cs="Times New Roman"/>
          <w:color w:val="000000"/>
          <w:sz w:val="24"/>
          <w:szCs w:val="24"/>
        </w:rPr>
      </w:pPr>
    </w:p>
    <w:p w14:paraId="4C4079BA" w14:textId="57BD7FD4" w:rsidR="007028EF" w:rsidRPr="000642C5" w:rsidRDefault="007028EF" w:rsidP="007028EF">
      <w:pPr>
        <w:pStyle w:val="HTMLPreformatted"/>
        <w:numPr>
          <w:ilvl w:val="0"/>
          <w:numId w:val="3"/>
        </w:numPr>
        <w:rPr>
          <w:rFonts w:ascii="Times New Roman" w:hAnsi="Times New Roman" w:cs="Times New Roman"/>
          <w:color w:val="000000"/>
          <w:sz w:val="24"/>
          <w:szCs w:val="24"/>
        </w:rPr>
      </w:pPr>
      <w:r w:rsidRPr="000642C5">
        <w:rPr>
          <w:rFonts w:ascii="Times New Roman" w:hAnsi="Times New Roman" w:cs="Times New Roman"/>
          <w:color w:val="000000"/>
          <w:sz w:val="24"/>
          <w:szCs w:val="24"/>
        </w:rPr>
        <w:t>Terms drawn from other sources, e.g., Library of Congress Subject Headings, and, especially, terms coined by the Brumfield project for specific purposes (local), need to be integrated with the terms from the AAT. This can be done using the facet categories supplied by the AAT and would result in a coherent ontology that could be deployed to create a unified and intuitive browse interface, simplify the construction of database queries, and suppo</w:t>
      </w:r>
      <w:r w:rsidR="00293241">
        <w:rPr>
          <w:rFonts w:ascii="Times New Roman" w:hAnsi="Times New Roman" w:cs="Times New Roman"/>
          <w:color w:val="000000"/>
          <w:sz w:val="24"/>
          <w:szCs w:val="24"/>
        </w:rPr>
        <w:t>rt the generation of linked open data</w:t>
      </w:r>
      <w:r w:rsidRPr="000642C5">
        <w:rPr>
          <w:rFonts w:ascii="Times New Roman" w:hAnsi="Times New Roman" w:cs="Times New Roman"/>
          <w:color w:val="000000"/>
          <w:sz w:val="24"/>
          <w:szCs w:val="24"/>
        </w:rPr>
        <w:t>.</w:t>
      </w:r>
    </w:p>
    <w:p w14:paraId="43FDD798" w14:textId="77777777" w:rsidR="007028EF" w:rsidRPr="000642C5" w:rsidRDefault="007028EF" w:rsidP="007028EF">
      <w:pPr>
        <w:pStyle w:val="HTMLPreformatted"/>
        <w:rPr>
          <w:rFonts w:ascii="Times New Roman" w:hAnsi="Times New Roman" w:cs="Times New Roman"/>
          <w:color w:val="000000"/>
          <w:sz w:val="24"/>
          <w:szCs w:val="24"/>
        </w:rPr>
      </w:pPr>
    </w:p>
    <w:p w14:paraId="0FBAEE1D" w14:textId="2D02C568" w:rsidR="007028EF" w:rsidRDefault="007028EF" w:rsidP="007028EF">
      <w:pPr>
        <w:pStyle w:val="HTMLPreformatted"/>
        <w:numPr>
          <w:ilvl w:val="0"/>
          <w:numId w:val="3"/>
        </w:numPr>
        <w:rPr>
          <w:rFonts w:ascii="Times New Roman" w:hAnsi="Times New Roman" w:cs="Times New Roman"/>
          <w:color w:val="000000"/>
          <w:sz w:val="24"/>
          <w:szCs w:val="24"/>
        </w:rPr>
      </w:pPr>
      <w:r w:rsidRPr="000642C5">
        <w:rPr>
          <w:rFonts w:ascii="Times New Roman" w:hAnsi="Times New Roman" w:cs="Times New Roman"/>
          <w:color w:val="000000"/>
          <w:sz w:val="24"/>
          <w:szCs w:val="24"/>
        </w:rPr>
        <w:t xml:space="preserve">An effort must be made to </w:t>
      </w:r>
      <w:r w:rsidR="00DD25ED">
        <w:rPr>
          <w:rFonts w:ascii="Times New Roman" w:hAnsi="Times New Roman" w:cs="Times New Roman"/>
          <w:color w:val="000000"/>
          <w:sz w:val="24"/>
          <w:szCs w:val="24"/>
        </w:rPr>
        <w:t>assign subject terms</w:t>
      </w:r>
      <w:r w:rsidRPr="000642C5">
        <w:rPr>
          <w:rFonts w:ascii="Times New Roman" w:hAnsi="Times New Roman" w:cs="Times New Roman"/>
          <w:color w:val="000000"/>
          <w:sz w:val="24"/>
          <w:szCs w:val="24"/>
        </w:rPr>
        <w:t xml:space="preserve"> </w:t>
      </w:r>
      <w:r w:rsidR="00DD25ED">
        <w:rPr>
          <w:rFonts w:ascii="Times New Roman" w:hAnsi="Times New Roman" w:cs="Times New Roman"/>
          <w:color w:val="000000"/>
          <w:sz w:val="24"/>
          <w:szCs w:val="24"/>
        </w:rPr>
        <w:t>to</w:t>
      </w:r>
      <w:r w:rsidRPr="000642C5">
        <w:rPr>
          <w:rFonts w:ascii="Times New Roman" w:hAnsi="Times New Roman" w:cs="Times New Roman"/>
          <w:color w:val="000000"/>
          <w:sz w:val="24"/>
          <w:szCs w:val="24"/>
        </w:rPr>
        <w:t xml:space="preserve"> all the entries in the database, both Works and Images. </w:t>
      </w:r>
      <w:r w:rsidR="00DD25ED">
        <w:rPr>
          <w:rFonts w:ascii="Times New Roman" w:hAnsi="Times New Roman" w:cs="Times New Roman"/>
          <w:color w:val="000000"/>
          <w:sz w:val="24"/>
          <w:szCs w:val="24"/>
        </w:rPr>
        <w:t>There are still approximately 10,000 images and 200 works that require subject terms.</w:t>
      </w:r>
      <w:r w:rsidRPr="000642C5">
        <w:rPr>
          <w:rFonts w:ascii="Times New Roman" w:hAnsi="Times New Roman" w:cs="Times New Roman"/>
          <w:color w:val="000000"/>
          <w:sz w:val="24"/>
          <w:szCs w:val="24"/>
        </w:rPr>
        <w:t xml:space="preserve"> </w:t>
      </w:r>
      <w:r w:rsidR="00DD25ED">
        <w:rPr>
          <w:rFonts w:ascii="Times New Roman" w:hAnsi="Times New Roman" w:cs="Times New Roman"/>
          <w:color w:val="000000"/>
          <w:sz w:val="24"/>
          <w:szCs w:val="24"/>
        </w:rPr>
        <w:t>T</w:t>
      </w:r>
      <w:r w:rsidRPr="000642C5">
        <w:rPr>
          <w:rFonts w:ascii="Times New Roman" w:hAnsi="Times New Roman" w:cs="Times New Roman"/>
          <w:color w:val="000000"/>
          <w:sz w:val="24"/>
          <w:szCs w:val="24"/>
        </w:rPr>
        <w:t xml:space="preserve">he other tables drawing on AAT data are very sparsely populated. An effort must be made to supply creator, </w:t>
      </w:r>
      <w:proofErr w:type="spellStart"/>
      <w:r w:rsidRPr="000642C5">
        <w:rPr>
          <w:rFonts w:ascii="Times New Roman" w:hAnsi="Times New Roman" w:cs="Times New Roman"/>
          <w:color w:val="000000"/>
          <w:sz w:val="24"/>
          <w:szCs w:val="24"/>
        </w:rPr>
        <w:t>styleperiod</w:t>
      </w:r>
      <w:proofErr w:type="spellEnd"/>
      <w:r w:rsidRPr="000642C5">
        <w:rPr>
          <w:rFonts w:ascii="Times New Roman" w:hAnsi="Times New Roman" w:cs="Times New Roman"/>
          <w:color w:val="000000"/>
          <w:sz w:val="24"/>
          <w:szCs w:val="24"/>
        </w:rPr>
        <w:t>, and materials data for all Work records in the database.</w:t>
      </w:r>
      <w:r w:rsidR="00DD25ED">
        <w:rPr>
          <w:rFonts w:ascii="Times New Roman" w:hAnsi="Times New Roman" w:cs="Times New Roman"/>
          <w:color w:val="000000"/>
          <w:sz w:val="24"/>
          <w:szCs w:val="24"/>
        </w:rPr>
        <w:t xml:space="preserve"> As much as possible, these terms should be drawn from the AAT.</w:t>
      </w:r>
    </w:p>
    <w:p w14:paraId="6B6FC5F9" w14:textId="77777777" w:rsidR="007F1EB4" w:rsidRDefault="007F1EB4" w:rsidP="007F1EB4">
      <w:pPr>
        <w:pStyle w:val="HTMLPreformatted"/>
        <w:rPr>
          <w:rFonts w:ascii="Times New Roman" w:hAnsi="Times New Roman" w:cs="Times New Roman"/>
          <w:color w:val="000000"/>
          <w:sz w:val="24"/>
          <w:szCs w:val="24"/>
        </w:rPr>
      </w:pPr>
    </w:p>
    <w:p w14:paraId="20B218D7" w14:textId="16418FFE" w:rsidR="007F1EB4" w:rsidRPr="000642C5" w:rsidRDefault="007F1EB4" w:rsidP="007028EF">
      <w:pPr>
        <w:pStyle w:val="HTMLPreformatted"/>
        <w:numPr>
          <w:ilvl w:val="0"/>
          <w:numId w:val="3"/>
        </w:num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database needs to be normalized.  This will aid in maintaining database integrity, ease of maintenance, and query formulation.</w:t>
      </w:r>
    </w:p>
    <w:p w14:paraId="716A1365" w14:textId="77777777" w:rsidR="007028EF" w:rsidRPr="007028EF" w:rsidRDefault="007028EF" w:rsidP="007028EF">
      <w:pPr>
        <w:pStyle w:val="HTMLPreformatted"/>
        <w:rPr>
          <w:color w:val="000000"/>
        </w:rPr>
      </w:pPr>
    </w:p>
    <w:p w14:paraId="36018D35" w14:textId="3CC90810" w:rsidR="00D5324B" w:rsidRDefault="00CB702E">
      <w:r>
        <w:t xml:space="preserve">Nothing that is being done to expose this collection using </w:t>
      </w:r>
      <w:proofErr w:type="spellStart"/>
      <w:r>
        <w:t>ContentDM</w:t>
      </w:r>
      <w:proofErr w:type="spellEnd"/>
      <w:r>
        <w:t xml:space="preserve"> precludes further development along the lines we originally outlined. </w:t>
      </w:r>
      <w:r w:rsidR="00D657AD">
        <w:t xml:space="preserve">Assuming we can secure the needed resources, we intend to pursue </w:t>
      </w:r>
      <w:r>
        <w:t>that vision</w:t>
      </w:r>
      <w:r w:rsidR="007552E0">
        <w:rPr>
          <w:color w:val="FF0000"/>
        </w:rPr>
        <w:t xml:space="preserve">. </w:t>
      </w:r>
      <w:r w:rsidR="007552E0" w:rsidRPr="007552E0">
        <w:t>I</w:t>
      </w:r>
      <w:r w:rsidR="000C67CA" w:rsidRPr="007552E0">
        <w:t>n addition to the Content DM interface described above, we plan to make available in 2013 to a restricted set of trial users a testable version of the originally envisaged interface, with evanescent (i.e. appearing only on mouse-over) prompts and instructions to make it exploitable in practice.</w:t>
      </w:r>
      <w:r w:rsidR="003D40FB" w:rsidRPr="007552E0">
        <w:t xml:space="preserve">  Our ultimate goal is to produce a version of the Brumfield Collection database and interface that can be integrated into the ‘Semantic Web’ and made part of a much broader array of shared resources on Russian architecture and the subjects associated with it.</w:t>
      </w:r>
    </w:p>
    <w:p w14:paraId="703C768F" w14:textId="77777777" w:rsidR="00CF07C0" w:rsidRDefault="00CF07C0"/>
    <w:p w14:paraId="5A9D2F14" w14:textId="20B26DE7" w:rsidR="00CF07C0" w:rsidRPr="00CF07C0" w:rsidRDefault="00CF07C0">
      <w:r w:rsidRPr="00CF07C0">
        <w:rPr>
          <w:lang w:eastAsia="ja-JP"/>
        </w:rPr>
        <w:t>A final but important point needs to be made about the Brum</w:t>
      </w:r>
      <w:r>
        <w:rPr>
          <w:lang w:eastAsia="ja-JP"/>
        </w:rPr>
        <w:t xml:space="preserve">field Collection interface </w:t>
      </w:r>
      <w:r w:rsidRPr="00CF07C0">
        <w:rPr>
          <w:lang w:eastAsia="ja-JP"/>
        </w:rPr>
        <w:t>and the future work involved in completing it:  The Brumfield Collectio</w:t>
      </w:r>
      <w:r w:rsidR="008A3908">
        <w:rPr>
          <w:lang w:eastAsia="ja-JP"/>
        </w:rPr>
        <w:t xml:space="preserve">n is a ‘work’ in its own right.  It is </w:t>
      </w:r>
      <w:r w:rsidRPr="00CF07C0">
        <w:rPr>
          <w:lang w:eastAsia="ja-JP"/>
        </w:rPr>
        <w:t xml:space="preserve">a reflection of the curiosity, interests, enthusiasm and vision of a particular scholar of Russian architecture, and the access he was able to obtain over several decades to the architectural heritage of a country that was in the relevant period partially closed to visitors from abroad.  The interface will necessarily provide information not just about the world of Russian architecture, but about the collection as such, the achievement of a particular photographer in a certain set of historical and political circumstances over the last three decades of the Soviet Union and the first decades of post-Soviet Russia. Many of the inconsistencies in the data are due not to cataloging difficulties, but to choices made for a variety of reasons by Professor Brumfield. Respect for these choices ultimately takes precedence over an attempt to fulfill </w:t>
      </w:r>
      <w:r w:rsidR="008A3908">
        <w:rPr>
          <w:lang w:eastAsia="ja-JP"/>
        </w:rPr>
        <w:t>any particular</w:t>
      </w:r>
      <w:r w:rsidRPr="00CF07C0">
        <w:rPr>
          <w:lang w:eastAsia="ja-JP"/>
        </w:rPr>
        <w:t xml:space="preserve"> schema or taxonomy of Russian architecture.</w:t>
      </w:r>
    </w:p>
    <w:p w14:paraId="749F03E2" w14:textId="15E12DC5" w:rsidR="00071D1A" w:rsidRDefault="00E1112C">
      <w:r>
        <w:br w:type="page"/>
      </w:r>
    </w:p>
    <w:p w14:paraId="3896FFA5" w14:textId="6EBA5B06" w:rsidR="00071D1A" w:rsidRPr="00DB1335" w:rsidRDefault="00DB1335">
      <w:pPr>
        <w:rPr>
          <w:b/>
        </w:rPr>
      </w:pPr>
      <w:r w:rsidRPr="00DB1335">
        <w:rPr>
          <w:b/>
        </w:rPr>
        <w:lastRenderedPageBreak/>
        <w:t>Figures</w:t>
      </w:r>
    </w:p>
    <w:p w14:paraId="3F47A5FE" w14:textId="77777777" w:rsidR="00071D1A" w:rsidRDefault="00071D1A"/>
    <w:p w14:paraId="09311ADB" w14:textId="38FC89D6" w:rsidR="00071D1A" w:rsidRDefault="00222CA0">
      <w:r>
        <w:rPr>
          <w:noProof/>
        </w:rPr>
        <w:drawing>
          <wp:inline distT="0" distB="0" distL="0" distR="0" wp14:anchorId="4B40B0BB" wp14:editId="65CCB6EA">
            <wp:extent cx="5486400" cy="4942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1.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4942840"/>
                    </a:xfrm>
                    <a:prstGeom prst="rect">
                      <a:avLst/>
                    </a:prstGeom>
                  </pic:spPr>
                </pic:pic>
              </a:graphicData>
            </a:graphic>
          </wp:inline>
        </w:drawing>
      </w:r>
    </w:p>
    <w:p w14:paraId="3A5DB935" w14:textId="3EF7C003" w:rsidR="00071D1A" w:rsidRPr="007552E0" w:rsidRDefault="00222CA0">
      <w:r w:rsidRPr="007552E0">
        <w:t>Figure 1: Result set for a string search on “</w:t>
      </w:r>
      <w:proofErr w:type="spellStart"/>
      <w:r w:rsidRPr="007552E0">
        <w:t>Aleksandr</w:t>
      </w:r>
      <w:proofErr w:type="spellEnd"/>
      <w:r w:rsidRPr="007552E0">
        <w:t xml:space="preserve"> </w:t>
      </w:r>
      <w:proofErr w:type="spellStart"/>
      <w:r w:rsidRPr="007552E0">
        <w:t>Nevskii</w:t>
      </w:r>
      <w:proofErr w:type="spellEnd"/>
      <w:r w:rsidRPr="007552E0">
        <w:t xml:space="preserve"> </w:t>
      </w:r>
      <w:proofErr w:type="spellStart"/>
      <w:r w:rsidRPr="007552E0">
        <w:t>Lavra</w:t>
      </w:r>
      <w:proofErr w:type="spellEnd"/>
      <w:r w:rsidRPr="007552E0">
        <w:t>”, showing the carousel of images.  The tree structure results from</w:t>
      </w:r>
      <w:r w:rsidR="00A81C35">
        <w:t xml:space="preserve"> clicking on the image of the “Communion Bread C</w:t>
      </w:r>
      <w:r w:rsidRPr="007552E0">
        <w:t>orpus”</w:t>
      </w:r>
      <w:r w:rsidR="00A81C35">
        <w:t>, the center image in the carousel</w:t>
      </w:r>
      <w:r w:rsidRPr="007552E0">
        <w:t xml:space="preserve">.  The </w:t>
      </w:r>
      <w:r w:rsidR="00A81C35" w:rsidRPr="007552E0">
        <w:t xml:space="preserve">green node indicates the location of the </w:t>
      </w:r>
      <w:r w:rsidR="00A81C35">
        <w:t>Communion Bread Corpus</w:t>
      </w:r>
      <w:r w:rsidR="00A81C35" w:rsidRPr="007552E0">
        <w:t xml:space="preserve"> in the hierarchy</w:t>
      </w:r>
      <w:r w:rsidRPr="007552E0">
        <w:t>.</w:t>
      </w:r>
    </w:p>
    <w:p w14:paraId="75DF8554" w14:textId="77777777" w:rsidR="00222CA0" w:rsidRDefault="00222CA0"/>
    <w:p w14:paraId="1B0AE40D" w14:textId="7D4ACF70" w:rsidR="00222CA0" w:rsidRDefault="00222CA0">
      <w:r>
        <w:rPr>
          <w:noProof/>
        </w:rPr>
        <w:lastRenderedPageBreak/>
        <w:drawing>
          <wp:inline distT="0" distB="0" distL="0" distR="0" wp14:anchorId="3A04FC0A" wp14:editId="1EDB515A">
            <wp:extent cx="5486400" cy="4893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2.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4893945"/>
                    </a:xfrm>
                    <a:prstGeom prst="rect">
                      <a:avLst/>
                    </a:prstGeom>
                  </pic:spPr>
                </pic:pic>
              </a:graphicData>
            </a:graphic>
          </wp:inline>
        </w:drawing>
      </w:r>
    </w:p>
    <w:p w14:paraId="51DFE857" w14:textId="782EFB40" w:rsidR="00E1112C" w:rsidRPr="007552E0" w:rsidRDefault="00CB6D59">
      <w:r w:rsidRPr="007552E0">
        <w:t xml:space="preserve">Figure 2: Clicking the </w:t>
      </w:r>
      <w:r w:rsidR="008A3908">
        <w:t xml:space="preserve">green </w:t>
      </w:r>
      <w:r w:rsidRPr="007552E0">
        <w:t>“Communion break corpus” node centers it.</w:t>
      </w:r>
    </w:p>
    <w:p w14:paraId="1961F956" w14:textId="77777777" w:rsidR="00CB6D59" w:rsidRDefault="00CB6D59"/>
    <w:p w14:paraId="49E69E9A" w14:textId="76941DE5" w:rsidR="00CB6D59" w:rsidRDefault="00CB6D59">
      <w:r>
        <w:rPr>
          <w:noProof/>
        </w:rPr>
        <w:lastRenderedPageBreak/>
        <w:drawing>
          <wp:inline distT="0" distB="0" distL="0" distR="0" wp14:anchorId="2B4BDFF1" wp14:editId="1F5812F5">
            <wp:extent cx="5486400" cy="5114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3.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5114925"/>
                    </a:xfrm>
                    <a:prstGeom prst="rect">
                      <a:avLst/>
                    </a:prstGeom>
                  </pic:spPr>
                </pic:pic>
              </a:graphicData>
            </a:graphic>
          </wp:inline>
        </w:drawing>
      </w:r>
    </w:p>
    <w:p w14:paraId="10DC0079" w14:textId="77B2A2C8" w:rsidR="00CB6D59" w:rsidRPr="007552E0" w:rsidRDefault="00CB6D59">
      <w:r w:rsidRPr="007552E0">
        <w:t>Figure 3: C</w:t>
      </w:r>
      <w:bookmarkStart w:id="0" w:name="_GoBack"/>
      <w:bookmarkEnd w:id="0"/>
      <w:r w:rsidRPr="007552E0">
        <w:t xml:space="preserve">arousel of images associated with the </w:t>
      </w:r>
      <w:r w:rsidR="00A81C35">
        <w:t>green Communion Bread Corpus</w:t>
      </w:r>
      <w:r w:rsidRPr="007552E0">
        <w:t xml:space="preserve"> node in Figure 2, resulting from right clicking that node.</w:t>
      </w:r>
    </w:p>
    <w:p w14:paraId="260DD324" w14:textId="77777777" w:rsidR="00CB6D59" w:rsidRDefault="00CB6D59"/>
    <w:p w14:paraId="2661942B" w14:textId="6558083B" w:rsidR="00CB6D59" w:rsidRDefault="00CB6D59">
      <w:r>
        <w:rPr>
          <w:noProof/>
        </w:rPr>
        <w:lastRenderedPageBreak/>
        <w:drawing>
          <wp:inline distT="0" distB="0" distL="0" distR="0" wp14:anchorId="7D40A003" wp14:editId="05B51C38">
            <wp:extent cx="5486400" cy="5177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4.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5177790"/>
                    </a:xfrm>
                    <a:prstGeom prst="rect">
                      <a:avLst/>
                    </a:prstGeom>
                  </pic:spPr>
                </pic:pic>
              </a:graphicData>
            </a:graphic>
          </wp:inline>
        </w:drawing>
      </w:r>
    </w:p>
    <w:p w14:paraId="630ACFA9" w14:textId="124BF8F2" w:rsidR="00CB6D59" w:rsidRPr="007552E0" w:rsidRDefault="00CB6D59">
      <w:r w:rsidRPr="007552E0">
        <w:t xml:space="preserve">Figure 4: Clicking the “display work metadata” </w:t>
      </w:r>
      <w:r w:rsidR="00DB1335" w:rsidRPr="007552E0">
        <w:t xml:space="preserve">link </w:t>
      </w:r>
      <w:r w:rsidRPr="007552E0">
        <w:t>shows the work metadata associated with</w:t>
      </w:r>
      <w:r w:rsidR="00A81C35">
        <w:t xml:space="preserve"> the Communion Bread Corpus</w:t>
      </w:r>
      <w:r w:rsidRPr="007552E0">
        <w:t xml:space="preserve"> node.</w:t>
      </w:r>
    </w:p>
    <w:p w14:paraId="34F9AE39" w14:textId="77777777" w:rsidR="00CB6D59" w:rsidRDefault="00CB6D59"/>
    <w:p w14:paraId="18D2D179" w14:textId="1965F223" w:rsidR="00CB6D59" w:rsidRDefault="00CB6D59">
      <w:r>
        <w:rPr>
          <w:noProof/>
        </w:rPr>
        <w:lastRenderedPageBreak/>
        <w:drawing>
          <wp:inline distT="0" distB="0" distL="0" distR="0" wp14:anchorId="7706EC86" wp14:editId="004CC884">
            <wp:extent cx="5486400" cy="4250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5.tiff"/>
                    <pic:cNvPicPr/>
                  </pic:nvPicPr>
                  <pic:blipFill>
                    <a:blip r:embed="rId14">
                      <a:extLst>
                        <a:ext uri="{28A0092B-C50C-407E-A947-70E740481C1C}">
                          <a14:useLocalDpi xmlns:a14="http://schemas.microsoft.com/office/drawing/2010/main" val="0"/>
                        </a:ext>
                      </a:extLst>
                    </a:blip>
                    <a:stretch>
                      <a:fillRect/>
                    </a:stretch>
                  </pic:blipFill>
                  <pic:spPr>
                    <a:xfrm>
                      <a:off x="0" y="0"/>
                      <a:ext cx="5486400" cy="4250055"/>
                    </a:xfrm>
                    <a:prstGeom prst="rect">
                      <a:avLst/>
                    </a:prstGeom>
                  </pic:spPr>
                </pic:pic>
              </a:graphicData>
            </a:graphic>
          </wp:inline>
        </w:drawing>
      </w:r>
    </w:p>
    <w:p w14:paraId="1CB51CC3" w14:textId="73CABCC5" w:rsidR="00CB6D59" w:rsidRPr="007552E0" w:rsidRDefault="00CB6D59">
      <w:r w:rsidRPr="007552E0">
        <w:t xml:space="preserve">Figure 5: Clicking on an image in the carousel of images </w:t>
      </w:r>
      <w:r w:rsidR="00A81C35">
        <w:t>in the previous Figure presents a larger view of that</w:t>
      </w:r>
      <w:r w:rsidRPr="007552E0">
        <w:t xml:space="preserve"> image in a modal dialog.</w:t>
      </w:r>
    </w:p>
    <w:p w14:paraId="6B1D3024" w14:textId="77777777" w:rsidR="00CB6D59" w:rsidRDefault="00CB6D59"/>
    <w:p w14:paraId="21AEE1E0" w14:textId="47856E19" w:rsidR="00CB6D59" w:rsidRDefault="00CB6D59">
      <w:r>
        <w:rPr>
          <w:noProof/>
        </w:rPr>
        <w:lastRenderedPageBreak/>
        <w:drawing>
          <wp:inline distT="0" distB="0" distL="0" distR="0" wp14:anchorId="64DD9716" wp14:editId="4C5D1641">
            <wp:extent cx="5486400" cy="4125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6.tiff"/>
                    <pic:cNvPicPr/>
                  </pic:nvPicPr>
                  <pic:blipFill>
                    <a:blip r:embed="rId15">
                      <a:extLst>
                        <a:ext uri="{28A0092B-C50C-407E-A947-70E740481C1C}">
                          <a14:useLocalDpi xmlns:a14="http://schemas.microsoft.com/office/drawing/2010/main" val="0"/>
                        </a:ext>
                      </a:extLst>
                    </a:blip>
                    <a:stretch>
                      <a:fillRect/>
                    </a:stretch>
                  </pic:blipFill>
                  <pic:spPr>
                    <a:xfrm>
                      <a:off x="0" y="0"/>
                      <a:ext cx="5486400" cy="4125595"/>
                    </a:xfrm>
                    <a:prstGeom prst="rect">
                      <a:avLst/>
                    </a:prstGeom>
                  </pic:spPr>
                </pic:pic>
              </a:graphicData>
            </a:graphic>
          </wp:inline>
        </w:drawing>
      </w:r>
    </w:p>
    <w:p w14:paraId="2A2B8C50" w14:textId="258AB659" w:rsidR="00CB6D59" w:rsidRPr="007552E0" w:rsidRDefault="00CB6D59">
      <w:r w:rsidRPr="007552E0">
        <w:t>Figure 6: Clicking the “show/hide metadata” link displays t</w:t>
      </w:r>
      <w:r w:rsidR="00A81C35">
        <w:t>he metadata associated with the currently displayed</w:t>
      </w:r>
      <w:r w:rsidRPr="007552E0">
        <w:t xml:space="preserve"> image.</w:t>
      </w:r>
    </w:p>
    <w:p w14:paraId="22447041" w14:textId="77777777" w:rsidR="00DB1335" w:rsidRDefault="00DB1335"/>
    <w:p w14:paraId="60739C94" w14:textId="00827C3E" w:rsidR="00DB1335" w:rsidRPr="007552E0" w:rsidRDefault="00DB1335" w:rsidP="00DB1335">
      <w:r w:rsidRPr="007552E0">
        <w:rPr>
          <w:noProof/>
          <w:color w:val="000000"/>
        </w:rPr>
        <w:lastRenderedPageBreak/>
        <w:drawing>
          <wp:inline distT="0" distB="0" distL="0" distR="0" wp14:anchorId="5D763D02" wp14:editId="7E12345C">
            <wp:extent cx="5486400" cy="3534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f"/>
                    <pic:cNvPicPr/>
                  </pic:nvPicPr>
                  <pic:blipFill>
                    <a:blip r:embed="rId16">
                      <a:extLst>
                        <a:ext uri="{28A0092B-C50C-407E-A947-70E740481C1C}">
                          <a14:useLocalDpi xmlns:a14="http://schemas.microsoft.com/office/drawing/2010/main" val="0"/>
                        </a:ext>
                      </a:extLst>
                    </a:blip>
                    <a:stretch>
                      <a:fillRect/>
                    </a:stretch>
                  </pic:blipFill>
                  <pic:spPr>
                    <a:xfrm>
                      <a:off x="0" y="0"/>
                      <a:ext cx="5486400" cy="3534410"/>
                    </a:xfrm>
                    <a:prstGeom prst="rect">
                      <a:avLst/>
                    </a:prstGeom>
                  </pic:spPr>
                </pic:pic>
              </a:graphicData>
            </a:graphic>
          </wp:inline>
        </w:drawing>
      </w:r>
      <w:r w:rsidR="00A81C35">
        <w:rPr>
          <w:color w:val="000000"/>
        </w:rPr>
        <w:t>Figure 7</w:t>
      </w:r>
      <w:r w:rsidRPr="007552E0">
        <w:rPr>
          <w:color w:val="000000"/>
        </w:rPr>
        <w:t>: “</w:t>
      </w:r>
      <w:proofErr w:type="spellStart"/>
      <w:r w:rsidRPr="007552E0">
        <w:rPr>
          <w:color w:val="000000"/>
        </w:rPr>
        <w:t>Spacetree</w:t>
      </w:r>
      <w:proofErr w:type="spellEnd"/>
      <w:r w:rsidRPr="007552E0">
        <w:rPr>
          <w:color w:val="000000"/>
        </w:rPr>
        <w:t>” display of a portion of the Getty AAT’s “Materials” facet.  The ellipse indicates that the term is used in the Brumfield database.</w:t>
      </w:r>
    </w:p>
    <w:p w14:paraId="54A62635" w14:textId="051498DF" w:rsidR="00CB6D59" w:rsidRDefault="00CB6D59"/>
    <w:p w14:paraId="02395FC8" w14:textId="77777777" w:rsidR="00CB6D59" w:rsidRDefault="00CB6D59"/>
    <w:p w14:paraId="4D3CC631" w14:textId="77777777" w:rsidR="00A81C35" w:rsidRDefault="00A81C35"/>
    <w:p w14:paraId="2F8C203E" w14:textId="77777777" w:rsidR="00A81C35" w:rsidRDefault="00A81C35"/>
    <w:p w14:paraId="2DBDA738" w14:textId="77777777" w:rsidR="00A81C35" w:rsidRDefault="00A81C35"/>
    <w:p w14:paraId="5FC4C7C3" w14:textId="77777777" w:rsidR="00A81C35" w:rsidRDefault="00A81C35"/>
    <w:p w14:paraId="2373FF77" w14:textId="622C015A" w:rsidR="00E1112C" w:rsidRPr="00FB7B29" w:rsidRDefault="00E1112C">
      <w:r>
        <w:t>Endnotes</w:t>
      </w:r>
    </w:p>
    <w:sectPr w:rsidR="00E1112C" w:rsidRPr="00FB7B29" w:rsidSect="00ED67B2">
      <w:footnotePr>
        <w:pos w:val="beneathText"/>
      </w:footnotePr>
      <w:endnotePr>
        <w:numFmt w:val="decimal"/>
      </w:endnotePr>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0C9FE" w14:textId="77777777" w:rsidR="00CF07C0" w:rsidRDefault="00CF07C0" w:rsidP="001C101E">
      <w:r>
        <w:separator/>
      </w:r>
    </w:p>
  </w:endnote>
  <w:endnote w:type="continuationSeparator" w:id="0">
    <w:p w14:paraId="3D6A67E3" w14:textId="77777777" w:rsidR="00CF07C0" w:rsidRDefault="00CF07C0" w:rsidP="001C101E">
      <w:r>
        <w:continuationSeparator/>
      </w:r>
    </w:p>
  </w:endnote>
  <w:endnote w:id="1">
    <w:p w14:paraId="2E0DD7E7" w14:textId="5C3BC549" w:rsidR="00CF07C0" w:rsidRDefault="00CF07C0" w:rsidP="008366CD">
      <w:pPr>
        <w:pStyle w:val="EndnoteText"/>
      </w:pPr>
      <w:r>
        <w:rPr>
          <w:rStyle w:val="EndnoteReference"/>
        </w:rPr>
        <w:endnoteRef/>
      </w:r>
      <w:r>
        <w:t xml:space="preserve"> </w:t>
      </w:r>
      <w:proofErr w:type="gramStart"/>
      <w:r>
        <w:t>Art &amp; Architecture Thesaurus (AAT).</w:t>
      </w:r>
      <w:proofErr w:type="gramEnd"/>
      <w:r>
        <w:t xml:space="preserve"> </w:t>
      </w:r>
      <w:proofErr w:type="gramStart"/>
      <w:r>
        <w:t>Getty Vocabulary Program.</w:t>
      </w:r>
      <w:proofErr w:type="gramEnd"/>
      <w:r>
        <w:t xml:space="preserve"> Los Angeles: J. Paul Getty Trust, Vocabulary Program, 1988-.</w:t>
      </w:r>
    </w:p>
    <w:p w14:paraId="7C0C6625" w14:textId="77777777" w:rsidR="00CF07C0" w:rsidRDefault="00CF07C0" w:rsidP="008366CD">
      <w:pPr>
        <w:pStyle w:val="EndnoteText"/>
      </w:pPr>
    </w:p>
  </w:endnote>
  <w:endnote w:id="2">
    <w:p w14:paraId="1E26F644" w14:textId="5738917B" w:rsidR="00CF07C0" w:rsidRDefault="00CF07C0" w:rsidP="005708A2">
      <w:pPr>
        <w:pStyle w:val="HTMLPreformatted"/>
        <w:rPr>
          <w:rFonts w:ascii="Times New Roman" w:hAnsi="Times New Roman" w:cs="Times New Roman"/>
          <w:color w:val="000000"/>
          <w:sz w:val="24"/>
          <w:szCs w:val="24"/>
        </w:rPr>
      </w:pPr>
      <w:r w:rsidRPr="001462D9">
        <w:rPr>
          <w:rStyle w:val="EndnoteReference"/>
          <w:rFonts w:ascii="Times New Roman" w:hAnsi="Times New Roman" w:cs="Times New Roman"/>
          <w:sz w:val="24"/>
          <w:szCs w:val="24"/>
        </w:rPr>
        <w:endnoteRef/>
      </w:r>
      <w:r w:rsidRPr="001462D9">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ImageFlow</w:t>
      </w:r>
      <w:proofErr w:type="spellEnd"/>
      <w:r>
        <w:rPr>
          <w:rFonts w:ascii="Times New Roman" w:hAnsi="Times New Roman" w:cs="Times New Roman"/>
          <w:color w:val="000000"/>
          <w:sz w:val="24"/>
          <w:szCs w:val="24"/>
        </w:rPr>
        <w:t xml:space="preserve"> v. 1.3.0 for carousel image display, available from </w:t>
      </w:r>
      <w:hyperlink r:id="rId1" w:history="1">
        <w:r w:rsidRPr="00937419">
          <w:rPr>
            <w:rStyle w:val="Hyperlink"/>
            <w:rFonts w:ascii="Times New Roman" w:hAnsi="Times New Roman" w:cs="Times New Roman"/>
            <w:sz w:val="24"/>
            <w:szCs w:val="24"/>
          </w:rPr>
          <w:t>http://imageflow.finnrudolph.de</w:t>
        </w:r>
      </w:hyperlink>
    </w:p>
    <w:p w14:paraId="4B6699F5" w14:textId="77777777" w:rsidR="00CF07C0" w:rsidRPr="001462D9" w:rsidRDefault="00CF07C0" w:rsidP="005708A2">
      <w:pPr>
        <w:pStyle w:val="HTMLPreformatted"/>
        <w:rPr>
          <w:rFonts w:ascii="Times New Roman" w:hAnsi="Times New Roman" w:cs="Times New Roman"/>
          <w:color w:val="000000"/>
          <w:sz w:val="24"/>
          <w:szCs w:val="24"/>
        </w:rPr>
      </w:pPr>
    </w:p>
  </w:endnote>
  <w:endnote w:id="3">
    <w:p w14:paraId="5EEE5A4B" w14:textId="57B2E8CB" w:rsidR="00CF07C0" w:rsidRPr="001462D9" w:rsidRDefault="00CF07C0">
      <w:pPr>
        <w:pStyle w:val="EndnoteText"/>
      </w:pPr>
      <w:r w:rsidRPr="001462D9">
        <w:rPr>
          <w:rStyle w:val="EndnoteReference"/>
        </w:rPr>
        <w:endnoteRef/>
      </w:r>
      <w:r w:rsidRPr="001462D9">
        <w:t xml:space="preserve"> </w:t>
      </w:r>
      <w:proofErr w:type="spellStart"/>
      <w:proofErr w:type="gramStart"/>
      <w:r w:rsidRPr="001462D9">
        <w:t>jQuery</w:t>
      </w:r>
      <w:proofErr w:type="spellEnd"/>
      <w:proofErr w:type="gramEnd"/>
      <w:r w:rsidRPr="001462D9">
        <w:t xml:space="preserve"> toolkit v. 1.4.2 for JavaScript DOM manipulation, available from </w:t>
      </w:r>
      <w:hyperlink r:id="rId2" w:history="1">
        <w:r w:rsidRPr="001462D9">
          <w:rPr>
            <w:rStyle w:val="Hyperlink"/>
          </w:rPr>
          <w:t>http://jquery.com</w:t>
        </w:r>
      </w:hyperlink>
    </w:p>
    <w:p w14:paraId="0CDA78B1" w14:textId="77777777" w:rsidR="00CF07C0" w:rsidRPr="001462D9" w:rsidRDefault="00CF07C0">
      <w:pPr>
        <w:pStyle w:val="EndnoteText"/>
      </w:pPr>
    </w:p>
  </w:endnote>
  <w:endnote w:id="4">
    <w:p w14:paraId="5810501F" w14:textId="64467E39" w:rsidR="00CF07C0" w:rsidRDefault="00CF07C0" w:rsidP="001462D9">
      <w:pPr>
        <w:pStyle w:val="HTMLPreformatted"/>
        <w:rPr>
          <w:rFonts w:ascii="Times New Roman" w:hAnsi="Times New Roman" w:cs="Times New Roman"/>
          <w:color w:val="000000"/>
          <w:sz w:val="24"/>
          <w:szCs w:val="24"/>
        </w:rPr>
      </w:pPr>
      <w:r w:rsidRPr="001462D9">
        <w:rPr>
          <w:rStyle w:val="EndnoteReference"/>
          <w:rFonts w:ascii="Times New Roman" w:hAnsi="Times New Roman" w:cs="Times New Roman"/>
          <w:sz w:val="24"/>
          <w:szCs w:val="24"/>
        </w:rPr>
        <w:endnoteRef/>
      </w:r>
      <w:r w:rsidRPr="001462D9">
        <w:rPr>
          <w:rFonts w:ascii="Times New Roman" w:hAnsi="Times New Roman" w:cs="Times New Roman"/>
          <w:sz w:val="24"/>
          <w:szCs w:val="24"/>
        </w:rPr>
        <w:t xml:space="preserve"> </w:t>
      </w:r>
      <w:r w:rsidRPr="001462D9">
        <w:rPr>
          <w:rFonts w:ascii="Times New Roman" w:hAnsi="Times New Roman" w:cs="Times New Roman"/>
          <w:color w:val="000000"/>
          <w:sz w:val="24"/>
          <w:szCs w:val="24"/>
        </w:rPr>
        <w:t xml:space="preserve">JavaScript </w:t>
      </w:r>
      <w:proofErr w:type="spellStart"/>
      <w:r w:rsidRPr="001462D9">
        <w:rPr>
          <w:rFonts w:ascii="Times New Roman" w:hAnsi="Times New Roman" w:cs="Times New Roman"/>
          <w:color w:val="000000"/>
          <w:sz w:val="24"/>
          <w:szCs w:val="24"/>
        </w:rPr>
        <w:t>InfoVis</w:t>
      </w:r>
      <w:proofErr w:type="spellEnd"/>
      <w:r w:rsidRPr="001462D9">
        <w:rPr>
          <w:rFonts w:ascii="Times New Roman" w:hAnsi="Times New Roman" w:cs="Times New Roman"/>
          <w:color w:val="000000"/>
          <w:sz w:val="24"/>
          <w:szCs w:val="24"/>
        </w:rPr>
        <w:t xml:space="preserve"> Toolkit v. 2.0.1 for tree and graph representations, available from </w:t>
      </w:r>
      <w:hyperlink r:id="rId3" w:history="1">
        <w:r w:rsidRPr="00937419">
          <w:rPr>
            <w:rStyle w:val="Hyperlink"/>
            <w:rFonts w:ascii="Times New Roman" w:hAnsi="Times New Roman" w:cs="Times New Roman"/>
            <w:sz w:val="24"/>
            <w:szCs w:val="24"/>
          </w:rPr>
          <w:t>http://thejit.org</w:t>
        </w:r>
      </w:hyperlink>
    </w:p>
    <w:p w14:paraId="3031FDFE" w14:textId="77777777" w:rsidR="00CF07C0" w:rsidRPr="001462D9" w:rsidRDefault="00CF07C0" w:rsidP="001462D9">
      <w:pPr>
        <w:pStyle w:val="HTMLPreformatted"/>
        <w:rPr>
          <w:rFonts w:ascii="Times New Roman" w:hAnsi="Times New Roman" w:cs="Times New Roman"/>
          <w:color w:val="000000"/>
          <w:sz w:val="24"/>
          <w:szCs w:val="24"/>
        </w:rPr>
      </w:pPr>
    </w:p>
  </w:endnote>
  <w:endnote w:id="5">
    <w:p w14:paraId="69A55CBE" w14:textId="77777777" w:rsidR="00CF07C0" w:rsidRDefault="00CF07C0" w:rsidP="00C348D9">
      <w:pPr>
        <w:pStyle w:val="EndnoteText"/>
      </w:pPr>
      <w:r w:rsidRPr="001462D9">
        <w:rPr>
          <w:rStyle w:val="EndnoteReference"/>
        </w:rPr>
        <w:endnoteRef/>
      </w:r>
      <w:r w:rsidRPr="001462D9">
        <w:t xml:space="preserve"> </w:t>
      </w:r>
      <w:r>
        <w:t xml:space="preserve">Shadowbox v. 3.0.3 for modal image display, available from </w:t>
      </w:r>
      <w:hyperlink r:id="rId4" w:history="1">
        <w:r w:rsidRPr="00937419">
          <w:rPr>
            <w:rStyle w:val="Hyperlink"/>
          </w:rPr>
          <w:t>http://shadowbox-js.com</w:t>
        </w:r>
      </w:hyperlink>
    </w:p>
    <w:p w14:paraId="07E3D33F" w14:textId="77777777" w:rsidR="00CF07C0" w:rsidRDefault="00CF07C0" w:rsidP="00C348D9">
      <w:pPr>
        <w:pStyle w:val="EndnoteText"/>
      </w:pPr>
    </w:p>
    <w:p w14:paraId="732A29E5" w14:textId="77777777" w:rsidR="00CF07C0" w:rsidRPr="001462D9" w:rsidRDefault="00CF07C0" w:rsidP="00C348D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A5667" w14:textId="77777777" w:rsidR="00CF07C0" w:rsidRDefault="00CF07C0" w:rsidP="001C101E">
      <w:r>
        <w:separator/>
      </w:r>
    </w:p>
  </w:footnote>
  <w:footnote w:type="continuationSeparator" w:id="0">
    <w:p w14:paraId="630ED75A" w14:textId="77777777" w:rsidR="00CF07C0" w:rsidRDefault="00CF07C0" w:rsidP="001C101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D7A38"/>
    <w:multiLevelType w:val="hybridMultilevel"/>
    <w:tmpl w:val="0FCE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56AE8"/>
    <w:multiLevelType w:val="hybridMultilevel"/>
    <w:tmpl w:val="20CA6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615859"/>
    <w:multiLevelType w:val="hybridMultilevel"/>
    <w:tmpl w:val="4226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24B"/>
    <w:rsid w:val="000507BD"/>
    <w:rsid w:val="000642C5"/>
    <w:rsid w:val="000712E0"/>
    <w:rsid w:val="00071D1A"/>
    <w:rsid w:val="000C67CA"/>
    <w:rsid w:val="001462D9"/>
    <w:rsid w:val="00180C70"/>
    <w:rsid w:val="0019250C"/>
    <w:rsid w:val="001C101E"/>
    <w:rsid w:val="00222CA0"/>
    <w:rsid w:val="00293241"/>
    <w:rsid w:val="00323329"/>
    <w:rsid w:val="00334035"/>
    <w:rsid w:val="00345C64"/>
    <w:rsid w:val="00393A8D"/>
    <w:rsid w:val="003A6190"/>
    <w:rsid w:val="003C1556"/>
    <w:rsid w:val="003D40FB"/>
    <w:rsid w:val="003E743F"/>
    <w:rsid w:val="00417F45"/>
    <w:rsid w:val="00483A0D"/>
    <w:rsid w:val="004851D2"/>
    <w:rsid w:val="004C5AE9"/>
    <w:rsid w:val="004D24A9"/>
    <w:rsid w:val="00504C4E"/>
    <w:rsid w:val="005622B1"/>
    <w:rsid w:val="005708A2"/>
    <w:rsid w:val="005A33E5"/>
    <w:rsid w:val="00602DE0"/>
    <w:rsid w:val="006031EF"/>
    <w:rsid w:val="0060361E"/>
    <w:rsid w:val="0064145A"/>
    <w:rsid w:val="006F4ABA"/>
    <w:rsid w:val="007028EF"/>
    <w:rsid w:val="00730CFD"/>
    <w:rsid w:val="007409E8"/>
    <w:rsid w:val="007552E0"/>
    <w:rsid w:val="00780272"/>
    <w:rsid w:val="007F1EB4"/>
    <w:rsid w:val="007F48FB"/>
    <w:rsid w:val="0083502A"/>
    <w:rsid w:val="008366CD"/>
    <w:rsid w:val="00850C14"/>
    <w:rsid w:val="008A3908"/>
    <w:rsid w:val="009D674B"/>
    <w:rsid w:val="00A76361"/>
    <w:rsid w:val="00A81C35"/>
    <w:rsid w:val="00A854EE"/>
    <w:rsid w:val="00AE1E5C"/>
    <w:rsid w:val="00B24D3E"/>
    <w:rsid w:val="00B54A75"/>
    <w:rsid w:val="00BC5903"/>
    <w:rsid w:val="00C348D9"/>
    <w:rsid w:val="00C55D84"/>
    <w:rsid w:val="00C87F14"/>
    <w:rsid w:val="00CB6D59"/>
    <w:rsid w:val="00CB702E"/>
    <w:rsid w:val="00CF07C0"/>
    <w:rsid w:val="00CF5644"/>
    <w:rsid w:val="00D5324B"/>
    <w:rsid w:val="00D657AD"/>
    <w:rsid w:val="00DB1335"/>
    <w:rsid w:val="00DD25ED"/>
    <w:rsid w:val="00E1112C"/>
    <w:rsid w:val="00E24181"/>
    <w:rsid w:val="00ED67B2"/>
    <w:rsid w:val="00F11A32"/>
    <w:rsid w:val="00F2653D"/>
    <w:rsid w:val="00FB7B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3060C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D5324B"/>
    <w:pPr>
      <w:spacing w:after="240"/>
    </w:pPr>
    <w:rPr>
      <w:rFonts w:eastAsia="Times New Roman"/>
      <w:b/>
      <w:bCs/>
      <w:lang w:bidi="he-IL"/>
    </w:rPr>
  </w:style>
  <w:style w:type="character" w:customStyle="1" w:styleId="SubtitleChar">
    <w:name w:val="Subtitle Char"/>
    <w:basedOn w:val="DefaultParagraphFont"/>
    <w:link w:val="Subtitle"/>
    <w:rsid w:val="00D5324B"/>
    <w:rPr>
      <w:rFonts w:eastAsia="Times New Roman"/>
      <w:b/>
      <w:bCs/>
      <w:sz w:val="24"/>
      <w:szCs w:val="24"/>
      <w:lang w:eastAsia="en-US" w:bidi="he-IL"/>
    </w:rPr>
  </w:style>
  <w:style w:type="paragraph" w:styleId="HTMLPreformatted">
    <w:name w:val="HTML Preformatted"/>
    <w:basedOn w:val="Normal"/>
    <w:link w:val="HTMLPreformattedChar"/>
    <w:uiPriority w:val="99"/>
    <w:unhideWhenUsed/>
    <w:rsid w:val="00192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19250C"/>
    <w:rPr>
      <w:rFonts w:ascii="Courier" w:hAnsi="Courier" w:cs="Courier"/>
      <w:lang w:eastAsia="en-US"/>
    </w:rPr>
  </w:style>
  <w:style w:type="paragraph" w:styleId="FootnoteText">
    <w:name w:val="footnote text"/>
    <w:basedOn w:val="Normal"/>
    <w:link w:val="FootnoteTextChar"/>
    <w:uiPriority w:val="99"/>
    <w:unhideWhenUsed/>
    <w:rsid w:val="001C101E"/>
  </w:style>
  <w:style w:type="character" w:customStyle="1" w:styleId="FootnoteTextChar">
    <w:name w:val="Footnote Text Char"/>
    <w:basedOn w:val="DefaultParagraphFont"/>
    <w:link w:val="FootnoteText"/>
    <w:uiPriority w:val="99"/>
    <w:rsid w:val="001C101E"/>
    <w:rPr>
      <w:sz w:val="24"/>
      <w:szCs w:val="24"/>
      <w:lang w:eastAsia="en-US"/>
    </w:rPr>
  </w:style>
  <w:style w:type="character" w:styleId="FootnoteReference">
    <w:name w:val="footnote reference"/>
    <w:basedOn w:val="DefaultParagraphFont"/>
    <w:uiPriority w:val="99"/>
    <w:unhideWhenUsed/>
    <w:rsid w:val="001C101E"/>
    <w:rPr>
      <w:vertAlign w:val="superscript"/>
    </w:rPr>
  </w:style>
  <w:style w:type="paragraph" w:styleId="EndnoteText">
    <w:name w:val="endnote text"/>
    <w:basedOn w:val="Normal"/>
    <w:link w:val="EndnoteTextChar"/>
    <w:uiPriority w:val="99"/>
    <w:unhideWhenUsed/>
    <w:rsid w:val="00345C64"/>
  </w:style>
  <w:style w:type="character" w:customStyle="1" w:styleId="EndnoteTextChar">
    <w:name w:val="Endnote Text Char"/>
    <w:basedOn w:val="DefaultParagraphFont"/>
    <w:link w:val="EndnoteText"/>
    <w:uiPriority w:val="99"/>
    <w:rsid w:val="00345C64"/>
    <w:rPr>
      <w:sz w:val="24"/>
      <w:szCs w:val="24"/>
      <w:lang w:eastAsia="en-US"/>
    </w:rPr>
  </w:style>
  <w:style w:type="character" w:styleId="EndnoteReference">
    <w:name w:val="endnote reference"/>
    <w:basedOn w:val="DefaultParagraphFont"/>
    <w:uiPriority w:val="99"/>
    <w:unhideWhenUsed/>
    <w:rsid w:val="00345C64"/>
    <w:rPr>
      <w:vertAlign w:val="superscript"/>
    </w:rPr>
  </w:style>
  <w:style w:type="character" w:styleId="Hyperlink">
    <w:name w:val="Hyperlink"/>
    <w:basedOn w:val="DefaultParagraphFont"/>
    <w:uiPriority w:val="99"/>
    <w:unhideWhenUsed/>
    <w:rsid w:val="0083502A"/>
    <w:rPr>
      <w:color w:val="0000FF" w:themeColor="hyperlink"/>
      <w:u w:val="single"/>
    </w:rPr>
  </w:style>
  <w:style w:type="paragraph" w:styleId="ListParagraph">
    <w:name w:val="List Paragraph"/>
    <w:basedOn w:val="Normal"/>
    <w:uiPriority w:val="34"/>
    <w:qFormat/>
    <w:rsid w:val="005622B1"/>
    <w:pPr>
      <w:ind w:left="720"/>
      <w:contextualSpacing/>
    </w:pPr>
  </w:style>
  <w:style w:type="paragraph" w:styleId="BalloonText">
    <w:name w:val="Balloon Text"/>
    <w:basedOn w:val="Normal"/>
    <w:link w:val="BalloonTextChar"/>
    <w:uiPriority w:val="99"/>
    <w:semiHidden/>
    <w:unhideWhenUsed/>
    <w:rsid w:val="001462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2D9"/>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D5324B"/>
    <w:pPr>
      <w:spacing w:after="240"/>
    </w:pPr>
    <w:rPr>
      <w:rFonts w:eastAsia="Times New Roman"/>
      <w:b/>
      <w:bCs/>
      <w:lang w:bidi="he-IL"/>
    </w:rPr>
  </w:style>
  <w:style w:type="character" w:customStyle="1" w:styleId="SubtitleChar">
    <w:name w:val="Subtitle Char"/>
    <w:basedOn w:val="DefaultParagraphFont"/>
    <w:link w:val="Subtitle"/>
    <w:rsid w:val="00D5324B"/>
    <w:rPr>
      <w:rFonts w:eastAsia="Times New Roman"/>
      <w:b/>
      <w:bCs/>
      <w:sz w:val="24"/>
      <w:szCs w:val="24"/>
      <w:lang w:eastAsia="en-US" w:bidi="he-IL"/>
    </w:rPr>
  </w:style>
  <w:style w:type="paragraph" w:styleId="HTMLPreformatted">
    <w:name w:val="HTML Preformatted"/>
    <w:basedOn w:val="Normal"/>
    <w:link w:val="HTMLPreformattedChar"/>
    <w:uiPriority w:val="99"/>
    <w:unhideWhenUsed/>
    <w:rsid w:val="00192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19250C"/>
    <w:rPr>
      <w:rFonts w:ascii="Courier" w:hAnsi="Courier" w:cs="Courier"/>
      <w:lang w:eastAsia="en-US"/>
    </w:rPr>
  </w:style>
  <w:style w:type="paragraph" w:styleId="FootnoteText">
    <w:name w:val="footnote text"/>
    <w:basedOn w:val="Normal"/>
    <w:link w:val="FootnoteTextChar"/>
    <w:uiPriority w:val="99"/>
    <w:unhideWhenUsed/>
    <w:rsid w:val="001C101E"/>
  </w:style>
  <w:style w:type="character" w:customStyle="1" w:styleId="FootnoteTextChar">
    <w:name w:val="Footnote Text Char"/>
    <w:basedOn w:val="DefaultParagraphFont"/>
    <w:link w:val="FootnoteText"/>
    <w:uiPriority w:val="99"/>
    <w:rsid w:val="001C101E"/>
    <w:rPr>
      <w:sz w:val="24"/>
      <w:szCs w:val="24"/>
      <w:lang w:eastAsia="en-US"/>
    </w:rPr>
  </w:style>
  <w:style w:type="character" w:styleId="FootnoteReference">
    <w:name w:val="footnote reference"/>
    <w:basedOn w:val="DefaultParagraphFont"/>
    <w:uiPriority w:val="99"/>
    <w:unhideWhenUsed/>
    <w:rsid w:val="001C101E"/>
    <w:rPr>
      <w:vertAlign w:val="superscript"/>
    </w:rPr>
  </w:style>
  <w:style w:type="paragraph" w:styleId="EndnoteText">
    <w:name w:val="endnote text"/>
    <w:basedOn w:val="Normal"/>
    <w:link w:val="EndnoteTextChar"/>
    <w:uiPriority w:val="99"/>
    <w:unhideWhenUsed/>
    <w:rsid w:val="00345C64"/>
  </w:style>
  <w:style w:type="character" w:customStyle="1" w:styleId="EndnoteTextChar">
    <w:name w:val="Endnote Text Char"/>
    <w:basedOn w:val="DefaultParagraphFont"/>
    <w:link w:val="EndnoteText"/>
    <w:uiPriority w:val="99"/>
    <w:rsid w:val="00345C64"/>
    <w:rPr>
      <w:sz w:val="24"/>
      <w:szCs w:val="24"/>
      <w:lang w:eastAsia="en-US"/>
    </w:rPr>
  </w:style>
  <w:style w:type="character" w:styleId="EndnoteReference">
    <w:name w:val="endnote reference"/>
    <w:basedOn w:val="DefaultParagraphFont"/>
    <w:uiPriority w:val="99"/>
    <w:unhideWhenUsed/>
    <w:rsid w:val="00345C64"/>
    <w:rPr>
      <w:vertAlign w:val="superscript"/>
    </w:rPr>
  </w:style>
  <w:style w:type="character" w:styleId="Hyperlink">
    <w:name w:val="Hyperlink"/>
    <w:basedOn w:val="DefaultParagraphFont"/>
    <w:uiPriority w:val="99"/>
    <w:unhideWhenUsed/>
    <w:rsid w:val="0083502A"/>
    <w:rPr>
      <w:color w:val="0000FF" w:themeColor="hyperlink"/>
      <w:u w:val="single"/>
    </w:rPr>
  </w:style>
  <w:style w:type="paragraph" w:styleId="ListParagraph">
    <w:name w:val="List Paragraph"/>
    <w:basedOn w:val="Normal"/>
    <w:uiPriority w:val="34"/>
    <w:qFormat/>
    <w:rsid w:val="005622B1"/>
    <w:pPr>
      <w:ind w:left="720"/>
      <w:contextualSpacing/>
    </w:pPr>
  </w:style>
  <w:style w:type="paragraph" w:styleId="BalloonText">
    <w:name w:val="Balloon Text"/>
    <w:basedOn w:val="Normal"/>
    <w:link w:val="BalloonTextChar"/>
    <w:uiPriority w:val="99"/>
    <w:semiHidden/>
    <w:unhideWhenUsed/>
    <w:rsid w:val="001462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2D9"/>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4606">
      <w:bodyDiv w:val="1"/>
      <w:marLeft w:val="0"/>
      <w:marRight w:val="0"/>
      <w:marTop w:val="0"/>
      <w:marBottom w:val="0"/>
      <w:divBdr>
        <w:top w:val="none" w:sz="0" w:space="0" w:color="auto"/>
        <w:left w:val="none" w:sz="0" w:space="0" w:color="auto"/>
        <w:bottom w:val="none" w:sz="0" w:space="0" w:color="auto"/>
        <w:right w:val="none" w:sz="0" w:space="0" w:color="auto"/>
      </w:divBdr>
    </w:div>
    <w:div w:id="257104083">
      <w:bodyDiv w:val="1"/>
      <w:marLeft w:val="0"/>
      <w:marRight w:val="0"/>
      <w:marTop w:val="0"/>
      <w:marBottom w:val="0"/>
      <w:divBdr>
        <w:top w:val="none" w:sz="0" w:space="0" w:color="auto"/>
        <w:left w:val="none" w:sz="0" w:space="0" w:color="auto"/>
        <w:bottom w:val="none" w:sz="0" w:space="0" w:color="auto"/>
        <w:right w:val="none" w:sz="0" w:space="0" w:color="auto"/>
      </w:divBdr>
    </w:div>
    <w:div w:id="399443465">
      <w:bodyDiv w:val="1"/>
      <w:marLeft w:val="0"/>
      <w:marRight w:val="0"/>
      <w:marTop w:val="0"/>
      <w:marBottom w:val="0"/>
      <w:divBdr>
        <w:top w:val="none" w:sz="0" w:space="0" w:color="auto"/>
        <w:left w:val="none" w:sz="0" w:space="0" w:color="auto"/>
        <w:bottom w:val="none" w:sz="0" w:space="0" w:color="auto"/>
        <w:right w:val="none" w:sz="0" w:space="0" w:color="auto"/>
      </w:divBdr>
    </w:div>
    <w:div w:id="486243961">
      <w:bodyDiv w:val="1"/>
      <w:marLeft w:val="0"/>
      <w:marRight w:val="0"/>
      <w:marTop w:val="0"/>
      <w:marBottom w:val="0"/>
      <w:divBdr>
        <w:top w:val="none" w:sz="0" w:space="0" w:color="auto"/>
        <w:left w:val="none" w:sz="0" w:space="0" w:color="auto"/>
        <w:bottom w:val="none" w:sz="0" w:space="0" w:color="auto"/>
        <w:right w:val="none" w:sz="0" w:space="0" w:color="auto"/>
      </w:divBdr>
    </w:div>
    <w:div w:id="502015604">
      <w:bodyDiv w:val="1"/>
      <w:marLeft w:val="0"/>
      <w:marRight w:val="0"/>
      <w:marTop w:val="0"/>
      <w:marBottom w:val="0"/>
      <w:divBdr>
        <w:top w:val="none" w:sz="0" w:space="0" w:color="auto"/>
        <w:left w:val="none" w:sz="0" w:space="0" w:color="auto"/>
        <w:bottom w:val="none" w:sz="0" w:space="0" w:color="auto"/>
        <w:right w:val="none" w:sz="0" w:space="0" w:color="auto"/>
      </w:divBdr>
    </w:div>
    <w:div w:id="927883303">
      <w:bodyDiv w:val="1"/>
      <w:marLeft w:val="0"/>
      <w:marRight w:val="0"/>
      <w:marTop w:val="0"/>
      <w:marBottom w:val="0"/>
      <w:divBdr>
        <w:top w:val="none" w:sz="0" w:space="0" w:color="auto"/>
        <w:left w:val="none" w:sz="0" w:space="0" w:color="auto"/>
        <w:bottom w:val="none" w:sz="0" w:space="0" w:color="auto"/>
        <w:right w:val="none" w:sz="0" w:space="0" w:color="auto"/>
      </w:divBdr>
    </w:div>
    <w:div w:id="1265577725">
      <w:bodyDiv w:val="1"/>
      <w:marLeft w:val="0"/>
      <w:marRight w:val="0"/>
      <w:marTop w:val="0"/>
      <w:marBottom w:val="0"/>
      <w:divBdr>
        <w:top w:val="none" w:sz="0" w:space="0" w:color="auto"/>
        <w:left w:val="none" w:sz="0" w:space="0" w:color="auto"/>
        <w:bottom w:val="none" w:sz="0" w:space="0" w:color="auto"/>
        <w:right w:val="none" w:sz="0" w:space="0" w:color="auto"/>
      </w:divBdr>
    </w:div>
    <w:div w:id="1335301591">
      <w:bodyDiv w:val="1"/>
      <w:marLeft w:val="0"/>
      <w:marRight w:val="0"/>
      <w:marTop w:val="0"/>
      <w:marBottom w:val="0"/>
      <w:divBdr>
        <w:top w:val="none" w:sz="0" w:space="0" w:color="auto"/>
        <w:left w:val="none" w:sz="0" w:space="0" w:color="auto"/>
        <w:bottom w:val="none" w:sz="0" w:space="0" w:color="auto"/>
        <w:right w:val="none" w:sz="0" w:space="0" w:color="auto"/>
      </w:divBdr>
    </w:div>
    <w:div w:id="1510562004">
      <w:bodyDiv w:val="1"/>
      <w:marLeft w:val="0"/>
      <w:marRight w:val="0"/>
      <w:marTop w:val="0"/>
      <w:marBottom w:val="0"/>
      <w:divBdr>
        <w:top w:val="none" w:sz="0" w:space="0" w:color="auto"/>
        <w:left w:val="none" w:sz="0" w:space="0" w:color="auto"/>
        <w:bottom w:val="none" w:sz="0" w:space="0" w:color="auto"/>
        <w:right w:val="none" w:sz="0" w:space="0" w:color="auto"/>
      </w:divBdr>
    </w:div>
    <w:div w:id="1510676673">
      <w:bodyDiv w:val="1"/>
      <w:marLeft w:val="0"/>
      <w:marRight w:val="0"/>
      <w:marTop w:val="0"/>
      <w:marBottom w:val="0"/>
      <w:divBdr>
        <w:top w:val="none" w:sz="0" w:space="0" w:color="auto"/>
        <w:left w:val="none" w:sz="0" w:space="0" w:color="auto"/>
        <w:bottom w:val="none" w:sz="0" w:space="0" w:color="auto"/>
        <w:right w:val="none" w:sz="0" w:space="0" w:color="auto"/>
      </w:divBdr>
    </w:div>
    <w:div w:id="1539852312">
      <w:bodyDiv w:val="1"/>
      <w:marLeft w:val="0"/>
      <w:marRight w:val="0"/>
      <w:marTop w:val="0"/>
      <w:marBottom w:val="0"/>
      <w:divBdr>
        <w:top w:val="none" w:sz="0" w:space="0" w:color="auto"/>
        <w:left w:val="none" w:sz="0" w:space="0" w:color="auto"/>
        <w:bottom w:val="none" w:sz="0" w:space="0" w:color="auto"/>
        <w:right w:val="none" w:sz="0" w:space="0" w:color="auto"/>
      </w:divBdr>
    </w:div>
    <w:div w:id="1547062714">
      <w:bodyDiv w:val="1"/>
      <w:marLeft w:val="0"/>
      <w:marRight w:val="0"/>
      <w:marTop w:val="0"/>
      <w:marBottom w:val="0"/>
      <w:divBdr>
        <w:top w:val="none" w:sz="0" w:space="0" w:color="auto"/>
        <w:left w:val="none" w:sz="0" w:space="0" w:color="auto"/>
        <w:bottom w:val="none" w:sz="0" w:space="0" w:color="auto"/>
        <w:right w:val="none" w:sz="0" w:space="0" w:color="auto"/>
      </w:divBdr>
    </w:div>
    <w:div w:id="1578783663">
      <w:bodyDiv w:val="1"/>
      <w:marLeft w:val="0"/>
      <w:marRight w:val="0"/>
      <w:marTop w:val="0"/>
      <w:marBottom w:val="0"/>
      <w:divBdr>
        <w:top w:val="none" w:sz="0" w:space="0" w:color="auto"/>
        <w:left w:val="none" w:sz="0" w:space="0" w:color="auto"/>
        <w:bottom w:val="none" w:sz="0" w:space="0" w:color="auto"/>
        <w:right w:val="none" w:sz="0" w:space="0" w:color="auto"/>
      </w:divBdr>
    </w:div>
    <w:div w:id="1730493658">
      <w:bodyDiv w:val="1"/>
      <w:marLeft w:val="0"/>
      <w:marRight w:val="0"/>
      <w:marTop w:val="0"/>
      <w:marBottom w:val="0"/>
      <w:divBdr>
        <w:top w:val="none" w:sz="0" w:space="0" w:color="auto"/>
        <w:left w:val="none" w:sz="0" w:space="0" w:color="auto"/>
        <w:bottom w:val="none" w:sz="0" w:space="0" w:color="auto"/>
        <w:right w:val="none" w:sz="0" w:space="0" w:color="auto"/>
      </w:divBdr>
    </w:div>
    <w:div w:id="1759786834">
      <w:bodyDiv w:val="1"/>
      <w:marLeft w:val="0"/>
      <w:marRight w:val="0"/>
      <w:marTop w:val="0"/>
      <w:marBottom w:val="0"/>
      <w:divBdr>
        <w:top w:val="none" w:sz="0" w:space="0" w:color="auto"/>
        <w:left w:val="none" w:sz="0" w:space="0" w:color="auto"/>
        <w:bottom w:val="none" w:sz="0" w:space="0" w:color="auto"/>
        <w:right w:val="none" w:sz="0" w:space="0" w:color="auto"/>
      </w:divBdr>
    </w:div>
    <w:div w:id="19668155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digital.lib.washington.edu/" TargetMode="External"/><Relationship Id="rId10" Type="http://schemas.openxmlformats.org/officeDocument/2006/relationships/image" Target="media/image1.tiff"/></Relationships>
</file>

<file path=word/_rels/endnotes.xml.rels><?xml version="1.0" encoding="UTF-8" standalone="yes"?>
<Relationships xmlns="http://schemas.openxmlformats.org/package/2006/relationships"><Relationship Id="rId3" Type="http://schemas.openxmlformats.org/officeDocument/2006/relationships/hyperlink" Target="http://thejit.org" TargetMode="External"/><Relationship Id="rId4" Type="http://schemas.openxmlformats.org/officeDocument/2006/relationships/hyperlink" Target="http://shadowbox-js.com" TargetMode="External"/><Relationship Id="rId1" Type="http://schemas.openxmlformats.org/officeDocument/2006/relationships/hyperlink" Target="http://imageflow.finnrudolph.de" TargetMode="External"/><Relationship Id="rId2" Type="http://schemas.openxmlformats.org/officeDocument/2006/relationships/hyperlink" Target="http://jque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57296-30AD-4D46-B27C-E20264C4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13</Pages>
  <Words>2562</Words>
  <Characters>14605</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Jordan</dc:creator>
  <cp:keywords/>
  <dc:description/>
  <cp:lastModifiedBy>William Jordan</cp:lastModifiedBy>
  <cp:revision>14</cp:revision>
  <dcterms:created xsi:type="dcterms:W3CDTF">2012-11-30T16:59:00Z</dcterms:created>
  <dcterms:modified xsi:type="dcterms:W3CDTF">2012-11-30T21:32:00Z</dcterms:modified>
</cp:coreProperties>
</file>