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75A1D2" w14:textId="5E91FC9E" w:rsidR="00C219BD" w:rsidRPr="00391D5E" w:rsidRDefault="00547913" w:rsidP="00083B8A">
      <w:pPr>
        <w:pStyle w:val="Heading1"/>
        <w:rPr>
          <w:rFonts w:cs="Arial Hebrew Scholar"/>
        </w:rPr>
      </w:pPr>
      <w:bookmarkStart w:id="0" w:name="h.bd40aqi89iih" w:colFirst="0" w:colLast="0"/>
      <w:bookmarkEnd w:id="0"/>
      <w:r w:rsidRPr="00391D5E">
        <w:t>Proposal</w:t>
      </w:r>
      <w:r w:rsidRPr="00391D5E">
        <w:rPr>
          <w:rFonts w:cs="Arial Hebrew Scholar" w:hint="cs"/>
        </w:rPr>
        <w:t xml:space="preserve"> </w:t>
      </w:r>
      <w:r w:rsidRPr="00391D5E">
        <w:t>for</w:t>
      </w:r>
      <w:r w:rsidRPr="00391D5E">
        <w:rPr>
          <w:rFonts w:cs="Arial Hebrew Scholar" w:hint="cs"/>
        </w:rPr>
        <w:t xml:space="preserve"> </w:t>
      </w:r>
      <w:r w:rsidR="007E6466" w:rsidRPr="00391D5E">
        <w:rPr>
          <w:rFonts w:cs="Arial Hebrew Scholar"/>
        </w:rPr>
        <w:t xml:space="preserve">a </w:t>
      </w:r>
      <w:r w:rsidR="007630F6">
        <w:t>Psychology</w:t>
      </w:r>
      <w:r w:rsidR="00920475" w:rsidRPr="00391D5E">
        <w:rPr>
          <w:rFonts w:cs="Arial Hebrew Scholar" w:hint="cs"/>
        </w:rPr>
        <w:t xml:space="preserve"> </w:t>
      </w:r>
      <w:r w:rsidR="00920475" w:rsidRPr="00391D5E">
        <w:t>graduate</w:t>
      </w:r>
      <w:r w:rsidR="00920475" w:rsidRPr="00391D5E">
        <w:rPr>
          <w:rFonts w:cs="Arial Hebrew Scholar" w:hint="cs"/>
        </w:rPr>
        <w:t xml:space="preserve"> </w:t>
      </w:r>
      <w:r w:rsidR="00920475" w:rsidRPr="00391D5E">
        <w:t>student</w:t>
      </w:r>
      <w:r w:rsidR="00920475" w:rsidRPr="00391D5E">
        <w:rPr>
          <w:rFonts w:cs="Arial Hebrew Scholar" w:hint="cs"/>
        </w:rPr>
        <w:t xml:space="preserve"> “</w:t>
      </w:r>
      <w:r w:rsidR="00920475" w:rsidRPr="00391D5E">
        <w:t>Data</w:t>
      </w:r>
      <w:r w:rsidR="00920475" w:rsidRPr="00391D5E">
        <w:rPr>
          <w:rFonts w:cs="Arial Hebrew Scholar" w:hint="cs"/>
        </w:rPr>
        <w:t xml:space="preserve"> </w:t>
      </w:r>
      <w:r w:rsidR="00920475" w:rsidRPr="00391D5E">
        <w:t>Science</w:t>
      </w:r>
      <w:r w:rsidR="00920475" w:rsidRPr="00391D5E">
        <w:rPr>
          <w:rFonts w:cs="Arial Hebrew Scholar" w:hint="cs"/>
        </w:rPr>
        <w:t xml:space="preserve"> </w:t>
      </w:r>
      <w:r w:rsidR="00920475" w:rsidRPr="00391D5E">
        <w:t>option</w:t>
      </w:r>
      <w:r w:rsidR="00920475" w:rsidRPr="00391D5E">
        <w:rPr>
          <w:rFonts w:cs="Arial Hebrew Scholar" w:hint="cs"/>
        </w:rPr>
        <w:t>”</w:t>
      </w:r>
    </w:p>
    <w:p w14:paraId="3F308F67" w14:textId="2F00BA13" w:rsidR="00F63544" w:rsidRPr="00391D5E" w:rsidRDefault="00547913" w:rsidP="00083B8A">
      <w:pPr>
        <w:pStyle w:val="Heading2"/>
        <w:rPr>
          <w:rFonts w:cs="Arial Hebrew Scholar"/>
        </w:rPr>
      </w:pPr>
      <w:bookmarkStart w:id="1" w:name="h.30ay6hp2qik1" w:colFirst="0" w:colLast="0"/>
      <w:bookmarkStart w:id="2" w:name="h.d5h5m88yks8y" w:colFirst="0" w:colLast="0"/>
      <w:bookmarkEnd w:id="1"/>
      <w:bookmarkEnd w:id="2"/>
      <w:r w:rsidRPr="00391D5E">
        <w:t>Summary</w:t>
      </w:r>
      <w:r w:rsidRPr="00391D5E">
        <w:rPr>
          <w:rFonts w:cs="Arial Hebrew Scholar" w:hint="cs"/>
        </w:rPr>
        <w:t xml:space="preserve"> </w:t>
      </w:r>
      <w:r w:rsidRPr="00391D5E">
        <w:t>Description</w:t>
      </w:r>
    </w:p>
    <w:p w14:paraId="2348310C" w14:textId="29D0E67E" w:rsidR="009021DF" w:rsidRPr="00391D5E" w:rsidRDefault="0080457E" w:rsidP="007630F6">
      <w:pPr>
        <w:autoSpaceDE w:val="0"/>
        <w:autoSpaceDN w:val="0"/>
        <w:adjustRightInd w:val="0"/>
        <w:spacing w:line="240" w:lineRule="auto"/>
        <w:rPr>
          <w:rFonts w:cs="Arial Hebrew Scholar"/>
          <w:szCs w:val="22"/>
        </w:rPr>
      </w:pPr>
      <w:r>
        <w:rPr>
          <w:rFonts w:eastAsia="Calibri" w:cs="Calibri"/>
          <w:szCs w:val="22"/>
        </w:rPr>
        <w:t xml:space="preserve">The proposed Data Science Option </w:t>
      </w:r>
      <w:r w:rsidR="00B471D8">
        <w:rPr>
          <w:rFonts w:eastAsia="Calibri" w:cs="Calibri"/>
          <w:szCs w:val="22"/>
        </w:rPr>
        <w:t xml:space="preserve">(DSO) </w:t>
      </w:r>
      <w:r>
        <w:rPr>
          <w:rFonts w:eastAsia="Calibri" w:cs="Calibri"/>
          <w:szCs w:val="22"/>
        </w:rPr>
        <w:t xml:space="preserve">is designed to meet a critical educational gap at the intersection of </w:t>
      </w:r>
      <w:r w:rsidR="007630F6">
        <w:rPr>
          <w:rFonts w:eastAsia="Calibri" w:cs="Calibri"/>
          <w:szCs w:val="22"/>
        </w:rPr>
        <w:t xml:space="preserve">Psychology (PSYCH) </w:t>
      </w:r>
      <w:r>
        <w:rPr>
          <w:rFonts w:eastAsia="Calibri" w:cs="Calibri"/>
          <w:szCs w:val="22"/>
        </w:rPr>
        <w:t xml:space="preserve">and Data Science. </w:t>
      </w:r>
      <w:r w:rsidR="007630F6">
        <w:rPr>
          <w:rFonts w:eastAsia="Calibri" w:cs="Calibri"/>
          <w:szCs w:val="22"/>
        </w:rPr>
        <w:t>Psychology</w:t>
      </w:r>
      <w:r>
        <w:rPr>
          <w:rFonts w:eastAsia="Calibri" w:cs="Calibri"/>
          <w:szCs w:val="22"/>
        </w:rPr>
        <w:t xml:space="preserve"> graduate students will receive credentialed training in</w:t>
      </w:r>
      <w:r w:rsidR="007630F6">
        <w:rPr>
          <w:rFonts w:eastAsia="Calibri" w:cs="Calibri"/>
          <w:szCs w:val="22"/>
        </w:rPr>
        <w:t xml:space="preserve"> the analysis of large datasets</w:t>
      </w:r>
      <w:r>
        <w:rPr>
          <w:rFonts w:eastAsia="Calibri" w:cs="Calibri"/>
          <w:szCs w:val="22"/>
        </w:rPr>
        <w:t>.</w:t>
      </w:r>
      <w:r w:rsidR="00920475" w:rsidRPr="00391D5E">
        <w:rPr>
          <w:rFonts w:cs="Arial Hebrew Scholar" w:hint="cs"/>
          <w:szCs w:val="22"/>
        </w:rPr>
        <w:t xml:space="preserve"> </w:t>
      </w:r>
      <w:r w:rsidR="00920475" w:rsidRPr="00391D5E">
        <w:rPr>
          <w:rFonts w:eastAsia="Calibri" w:cs="Calibri"/>
          <w:szCs w:val="22"/>
        </w:rPr>
        <w:t>T</w:t>
      </w:r>
      <w:r w:rsidR="009E3674" w:rsidRPr="00391D5E">
        <w:rPr>
          <w:rFonts w:eastAsia="Calibri" w:cs="Calibri"/>
          <w:szCs w:val="22"/>
        </w:rPr>
        <w:t>he</w:t>
      </w:r>
      <w:r w:rsidR="009E3674" w:rsidRPr="00391D5E">
        <w:rPr>
          <w:rFonts w:cs="Arial Hebrew Scholar" w:hint="cs"/>
          <w:szCs w:val="22"/>
        </w:rPr>
        <w:t xml:space="preserve"> </w:t>
      </w:r>
      <w:r w:rsidR="009E3674" w:rsidRPr="00391D5E">
        <w:rPr>
          <w:rFonts w:eastAsia="Calibri" w:cs="Calibri"/>
          <w:szCs w:val="22"/>
        </w:rPr>
        <w:t>Data</w:t>
      </w:r>
      <w:r w:rsidR="009E3674" w:rsidRPr="00391D5E">
        <w:rPr>
          <w:rFonts w:cs="Arial Hebrew Scholar" w:hint="cs"/>
          <w:szCs w:val="22"/>
        </w:rPr>
        <w:t xml:space="preserve"> </w:t>
      </w:r>
      <w:r w:rsidR="009E3674" w:rsidRPr="00391D5E">
        <w:rPr>
          <w:rFonts w:eastAsia="Calibri" w:cs="Calibri"/>
          <w:szCs w:val="22"/>
        </w:rPr>
        <w:t>Science</w:t>
      </w:r>
      <w:r w:rsidR="009E3674" w:rsidRPr="00391D5E">
        <w:rPr>
          <w:rFonts w:cs="Arial Hebrew Scholar" w:hint="cs"/>
          <w:szCs w:val="22"/>
        </w:rPr>
        <w:t xml:space="preserve"> </w:t>
      </w:r>
      <w:r w:rsidR="00A578FF">
        <w:rPr>
          <w:rFonts w:eastAsia="Calibri" w:cs="Calibri"/>
          <w:szCs w:val="22"/>
        </w:rPr>
        <w:t>o</w:t>
      </w:r>
      <w:r w:rsidR="009E3674" w:rsidRPr="00391D5E">
        <w:rPr>
          <w:rFonts w:eastAsia="Calibri" w:cs="Calibri"/>
          <w:szCs w:val="22"/>
        </w:rPr>
        <w:t>ption</w:t>
      </w:r>
      <w:r w:rsidR="00B23D1C" w:rsidRPr="00391D5E">
        <w:rPr>
          <w:rFonts w:cs="Arial Hebrew Scholar" w:hint="cs"/>
          <w:szCs w:val="22"/>
        </w:rPr>
        <w:t xml:space="preserve"> </w:t>
      </w:r>
      <w:r>
        <w:rPr>
          <w:rFonts w:eastAsia="Calibri" w:cs="Calibri"/>
          <w:szCs w:val="22"/>
        </w:rPr>
        <w:t>provides</w:t>
      </w:r>
      <w:r w:rsidR="007A22E4" w:rsidRPr="00391D5E">
        <w:rPr>
          <w:rFonts w:cs="Arial Hebrew Scholar" w:hint="cs"/>
          <w:szCs w:val="22"/>
        </w:rPr>
        <w:t xml:space="preserve"> </w:t>
      </w:r>
      <w:r w:rsidR="007A22E4" w:rsidRPr="00391D5E">
        <w:rPr>
          <w:rFonts w:eastAsia="Calibri" w:cs="Calibri"/>
          <w:szCs w:val="22"/>
        </w:rPr>
        <w:t>students</w:t>
      </w:r>
      <w:r w:rsidR="007A22E4" w:rsidRPr="00391D5E">
        <w:rPr>
          <w:rFonts w:cs="Arial Hebrew Scholar" w:hint="cs"/>
          <w:szCs w:val="22"/>
        </w:rPr>
        <w:t xml:space="preserve"> </w:t>
      </w:r>
      <w:r w:rsidR="007A22E4" w:rsidRPr="00391D5E">
        <w:rPr>
          <w:rFonts w:eastAsia="Calibri" w:cs="Calibri"/>
          <w:szCs w:val="22"/>
        </w:rPr>
        <w:t>an</w:t>
      </w:r>
      <w:r w:rsidR="007A22E4" w:rsidRPr="00391D5E">
        <w:rPr>
          <w:rFonts w:cs="Arial Hebrew Scholar" w:hint="cs"/>
          <w:szCs w:val="22"/>
        </w:rPr>
        <w:t xml:space="preserve"> </w:t>
      </w:r>
      <w:r w:rsidR="007A22E4" w:rsidRPr="00391D5E">
        <w:rPr>
          <w:rFonts w:eastAsia="Calibri" w:cs="Calibri"/>
          <w:szCs w:val="22"/>
        </w:rPr>
        <w:t>introduction</w:t>
      </w:r>
      <w:r w:rsidR="00D429E6" w:rsidRPr="00391D5E">
        <w:rPr>
          <w:rFonts w:cs="Arial Hebrew Scholar" w:hint="cs"/>
          <w:szCs w:val="22"/>
        </w:rPr>
        <w:t xml:space="preserve"> </w:t>
      </w:r>
      <w:r w:rsidR="00D429E6" w:rsidRPr="00391D5E">
        <w:rPr>
          <w:rFonts w:eastAsia="Calibri" w:cs="Calibri"/>
          <w:szCs w:val="22"/>
        </w:rPr>
        <w:t>to</w:t>
      </w:r>
      <w:r w:rsidR="00D429E6" w:rsidRPr="00391D5E">
        <w:rPr>
          <w:rFonts w:cs="Arial Hebrew Scholar" w:hint="cs"/>
          <w:szCs w:val="22"/>
        </w:rPr>
        <w:t xml:space="preserve"> </w:t>
      </w:r>
      <w:r w:rsidR="00D429E6" w:rsidRPr="00391D5E">
        <w:rPr>
          <w:rFonts w:eastAsia="Calibri" w:cs="Calibri"/>
          <w:szCs w:val="22"/>
        </w:rPr>
        <w:t>the</w:t>
      </w:r>
      <w:r w:rsidR="00D429E6" w:rsidRPr="00391D5E">
        <w:rPr>
          <w:rFonts w:cs="Arial Hebrew Scholar" w:hint="cs"/>
          <w:szCs w:val="22"/>
        </w:rPr>
        <w:t xml:space="preserve"> </w:t>
      </w:r>
      <w:r w:rsidR="00D429E6" w:rsidRPr="00391D5E">
        <w:rPr>
          <w:rFonts w:eastAsia="Calibri" w:cs="Calibri"/>
          <w:szCs w:val="22"/>
        </w:rPr>
        <w:t>world</w:t>
      </w:r>
      <w:r w:rsidR="00D429E6" w:rsidRPr="00391D5E">
        <w:rPr>
          <w:rFonts w:cs="Arial Hebrew Scholar" w:hint="cs"/>
          <w:szCs w:val="22"/>
        </w:rPr>
        <w:t xml:space="preserve"> </w:t>
      </w:r>
      <w:r w:rsidR="00D429E6" w:rsidRPr="00391D5E">
        <w:rPr>
          <w:rFonts w:eastAsia="Calibri" w:cs="Calibri"/>
          <w:szCs w:val="22"/>
        </w:rPr>
        <w:t>of</w:t>
      </w:r>
      <w:r w:rsidR="00D429E6" w:rsidRPr="00391D5E">
        <w:rPr>
          <w:rFonts w:cs="Arial Hebrew Scholar" w:hint="cs"/>
          <w:szCs w:val="22"/>
        </w:rPr>
        <w:t xml:space="preserve"> </w:t>
      </w:r>
      <w:r w:rsidR="00D429E6" w:rsidRPr="00391D5E">
        <w:rPr>
          <w:rFonts w:eastAsia="Calibri" w:cs="Calibri"/>
          <w:szCs w:val="22"/>
        </w:rPr>
        <w:t>data</w:t>
      </w:r>
      <w:r w:rsidR="00D429E6" w:rsidRPr="00391D5E">
        <w:rPr>
          <w:rFonts w:cs="Arial Hebrew Scholar" w:hint="cs"/>
          <w:szCs w:val="22"/>
        </w:rPr>
        <w:t xml:space="preserve"> </w:t>
      </w:r>
      <w:r w:rsidR="00D429E6" w:rsidRPr="00391D5E">
        <w:rPr>
          <w:rFonts w:eastAsia="Calibri" w:cs="Calibri"/>
          <w:szCs w:val="22"/>
        </w:rPr>
        <w:t>science</w:t>
      </w:r>
      <w:r w:rsidR="00D429E6" w:rsidRPr="00391D5E">
        <w:rPr>
          <w:rFonts w:cs="Arial Hebrew Scholar" w:hint="cs"/>
          <w:szCs w:val="22"/>
        </w:rPr>
        <w:t xml:space="preserve">, </w:t>
      </w:r>
      <w:r w:rsidR="00D429E6" w:rsidRPr="00391D5E">
        <w:rPr>
          <w:rFonts w:eastAsia="Calibri" w:cs="Calibri"/>
          <w:szCs w:val="22"/>
        </w:rPr>
        <w:t>g</w:t>
      </w:r>
      <w:r w:rsidR="007A22E4" w:rsidRPr="00391D5E">
        <w:rPr>
          <w:rFonts w:eastAsia="Calibri" w:cs="Calibri"/>
          <w:szCs w:val="22"/>
        </w:rPr>
        <w:t>iving</w:t>
      </w:r>
      <w:r>
        <w:rPr>
          <w:rFonts w:eastAsia="Calibri" w:cs="Calibri"/>
          <w:szCs w:val="22"/>
        </w:rPr>
        <w:t xml:space="preserve"> them</w:t>
      </w:r>
      <w:r w:rsidR="007A22E4" w:rsidRPr="00391D5E">
        <w:rPr>
          <w:rFonts w:cs="Arial Hebrew Scholar" w:hint="cs"/>
          <w:szCs w:val="22"/>
        </w:rPr>
        <w:t xml:space="preserve"> </w:t>
      </w:r>
      <w:r w:rsidR="007A22E4" w:rsidRPr="00391D5E">
        <w:rPr>
          <w:rFonts w:eastAsia="Calibri" w:cs="Calibri"/>
          <w:szCs w:val="22"/>
        </w:rPr>
        <w:t>the</w:t>
      </w:r>
      <w:r w:rsidR="007A22E4" w:rsidRPr="00391D5E">
        <w:rPr>
          <w:rFonts w:cs="Arial Hebrew Scholar" w:hint="cs"/>
          <w:szCs w:val="22"/>
        </w:rPr>
        <w:t xml:space="preserve"> </w:t>
      </w:r>
      <w:r w:rsidR="007A22E4" w:rsidRPr="00391D5E">
        <w:rPr>
          <w:rFonts w:eastAsia="Calibri" w:cs="Calibri"/>
          <w:szCs w:val="22"/>
        </w:rPr>
        <w:t>skills</w:t>
      </w:r>
      <w:r w:rsidR="007A22E4" w:rsidRPr="00391D5E">
        <w:rPr>
          <w:rFonts w:cs="Arial Hebrew Scholar" w:hint="cs"/>
          <w:szCs w:val="22"/>
        </w:rPr>
        <w:t xml:space="preserve"> </w:t>
      </w:r>
      <w:r w:rsidR="007A22E4" w:rsidRPr="00391D5E">
        <w:rPr>
          <w:rFonts w:eastAsia="Calibri" w:cs="Calibri"/>
          <w:szCs w:val="22"/>
        </w:rPr>
        <w:t>to</w:t>
      </w:r>
      <w:r w:rsidR="007A22E4" w:rsidRPr="00391D5E">
        <w:rPr>
          <w:rFonts w:cs="Arial Hebrew Scholar" w:hint="cs"/>
          <w:szCs w:val="22"/>
        </w:rPr>
        <w:t xml:space="preserve"> </w:t>
      </w:r>
      <w:r w:rsidR="007A22E4" w:rsidRPr="00391D5E">
        <w:rPr>
          <w:rFonts w:eastAsia="Calibri" w:cs="Calibri"/>
          <w:szCs w:val="22"/>
        </w:rPr>
        <w:t>understand</w:t>
      </w:r>
      <w:r w:rsidR="007A22E4" w:rsidRPr="00391D5E">
        <w:rPr>
          <w:rFonts w:cs="Arial Hebrew Scholar" w:hint="cs"/>
          <w:szCs w:val="22"/>
        </w:rPr>
        <w:t xml:space="preserve"> </w:t>
      </w:r>
      <w:r w:rsidR="00D429E6" w:rsidRPr="00391D5E">
        <w:rPr>
          <w:rFonts w:eastAsia="Calibri" w:cs="Calibri"/>
          <w:szCs w:val="22"/>
        </w:rPr>
        <w:t>a</w:t>
      </w:r>
      <w:r w:rsidR="00D429E6" w:rsidRPr="00391D5E">
        <w:rPr>
          <w:rFonts w:cs="Arial Hebrew Scholar" w:hint="cs"/>
          <w:szCs w:val="22"/>
        </w:rPr>
        <w:t xml:space="preserve"> </w:t>
      </w:r>
      <w:r w:rsidR="00D429E6" w:rsidRPr="00391D5E">
        <w:rPr>
          <w:rFonts w:eastAsia="Calibri" w:cs="Calibri"/>
          <w:szCs w:val="22"/>
        </w:rPr>
        <w:t>variety</w:t>
      </w:r>
      <w:r w:rsidR="00D429E6" w:rsidRPr="00391D5E">
        <w:rPr>
          <w:rFonts w:cs="Arial Hebrew Scholar" w:hint="cs"/>
          <w:szCs w:val="22"/>
        </w:rPr>
        <w:t xml:space="preserve"> </w:t>
      </w:r>
      <w:r w:rsidR="00D429E6" w:rsidRPr="00391D5E">
        <w:rPr>
          <w:rFonts w:eastAsia="Calibri" w:cs="Calibri"/>
          <w:szCs w:val="22"/>
        </w:rPr>
        <w:t>of</w:t>
      </w:r>
      <w:r w:rsidR="00D429E6" w:rsidRPr="00391D5E">
        <w:rPr>
          <w:rFonts w:cs="Arial Hebrew Scholar" w:hint="cs"/>
          <w:szCs w:val="22"/>
        </w:rPr>
        <w:t xml:space="preserve"> </w:t>
      </w:r>
      <w:r w:rsidR="00D429E6" w:rsidRPr="00391D5E">
        <w:rPr>
          <w:rFonts w:eastAsia="Calibri" w:cs="Calibri"/>
          <w:szCs w:val="22"/>
        </w:rPr>
        <w:t>techniques</w:t>
      </w:r>
      <w:r w:rsidR="00D429E6" w:rsidRPr="00391D5E">
        <w:rPr>
          <w:rFonts w:cs="Arial Hebrew Scholar" w:hint="cs"/>
          <w:szCs w:val="22"/>
        </w:rPr>
        <w:t xml:space="preserve"> </w:t>
      </w:r>
      <w:r w:rsidR="00D429E6" w:rsidRPr="00391D5E">
        <w:rPr>
          <w:rFonts w:eastAsia="Calibri" w:cs="Calibri"/>
          <w:szCs w:val="22"/>
        </w:rPr>
        <w:t>and</w:t>
      </w:r>
      <w:r w:rsidR="00D429E6" w:rsidRPr="00391D5E">
        <w:rPr>
          <w:rFonts w:cs="Arial Hebrew Scholar" w:hint="cs"/>
          <w:szCs w:val="22"/>
        </w:rPr>
        <w:t xml:space="preserve"> </w:t>
      </w:r>
      <w:r w:rsidR="00D429E6" w:rsidRPr="00391D5E">
        <w:rPr>
          <w:rFonts w:eastAsia="Calibri" w:cs="Calibri"/>
          <w:szCs w:val="22"/>
        </w:rPr>
        <w:t>tools</w:t>
      </w:r>
      <w:r w:rsidR="00D429E6" w:rsidRPr="00391D5E">
        <w:rPr>
          <w:rFonts w:cs="Arial Hebrew Scholar" w:hint="cs"/>
          <w:szCs w:val="22"/>
        </w:rPr>
        <w:t xml:space="preserve">. </w:t>
      </w:r>
      <w:r w:rsidR="00AD48BC" w:rsidRPr="00391D5E">
        <w:rPr>
          <w:rFonts w:eastAsia="Calibri" w:cs="Calibri"/>
          <w:szCs w:val="22"/>
        </w:rPr>
        <w:t>The</w:t>
      </w:r>
      <w:r w:rsidR="00AD48BC" w:rsidRPr="00391D5E">
        <w:rPr>
          <w:rFonts w:cs="Arial Hebrew Scholar" w:hint="cs"/>
          <w:szCs w:val="22"/>
        </w:rPr>
        <w:t xml:space="preserve"> </w:t>
      </w:r>
      <w:r w:rsidR="00AD48BC" w:rsidRPr="00391D5E">
        <w:rPr>
          <w:rFonts w:eastAsia="Calibri" w:cs="Calibri"/>
          <w:szCs w:val="22"/>
        </w:rPr>
        <w:t>goal</w:t>
      </w:r>
      <w:r w:rsidR="00AD48BC" w:rsidRPr="00391D5E">
        <w:rPr>
          <w:rFonts w:cs="Arial Hebrew Scholar" w:hint="cs"/>
          <w:szCs w:val="22"/>
        </w:rPr>
        <w:t xml:space="preserve"> </w:t>
      </w:r>
      <w:r w:rsidR="00AD48BC" w:rsidRPr="00391D5E">
        <w:rPr>
          <w:rFonts w:eastAsia="Calibri" w:cs="Calibri"/>
          <w:szCs w:val="22"/>
        </w:rPr>
        <w:t>of</w:t>
      </w:r>
      <w:r w:rsidR="00AD48BC" w:rsidRPr="00391D5E">
        <w:rPr>
          <w:rFonts w:cs="Arial Hebrew Scholar" w:hint="cs"/>
          <w:szCs w:val="22"/>
        </w:rPr>
        <w:t xml:space="preserve"> </w:t>
      </w:r>
      <w:r w:rsidR="00AD48BC" w:rsidRPr="00391D5E">
        <w:rPr>
          <w:rFonts w:eastAsia="Calibri" w:cs="Calibri"/>
          <w:szCs w:val="22"/>
        </w:rPr>
        <w:t>this</w:t>
      </w:r>
      <w:r w:rsidR="00AD48BC" w:rsidRPr="00391D5E">
        <w:rPr>
          <w:rFonts w:cs="Arial Hebrew Scholar" w:hint="cs"/>
          <w:szCs w:val="22"/>
        </w:rPr>
        <w:t xml:space="preserve"> </w:t>
      </w:r>
      <w:r w:rsidR="00AD48BC" w:rsidRPr="00391D5E">
        <w:rPr>
          <w:rFonts w:eastAsia="Calibri" w:cs="Calibri"/>
          <w:szCs w:val="22"/>
        </w:rPr>
        <w:t>option</w:t>
      </w:r>
      <w:r w:rsidR="00AD48BC" w:rsidRPr="00391D5E">
        <w:rPr>
          <w:rFonts w:cs="Arial Hebrew Scholar" w:hint="cs"/>
          <w:szCs w:val="22"/>
        </w:rPr>
        <w:t xml:space="preserve"> </w:t>
      </w:r>
      <w:r w:rsidR="00AD48BC" w:rsidRPr="00391D5E">
        <w:rPr>
          <w:rFonts w:eastAsia="Calibri" w:cs="Calibri"/>
          <w:szCs w:val="22"/>
        </w:rPr>
        <w:t>is</w:t>
      </w:r>
      <w:r w:rsidR="00AD48BC" w:rsidRPr="00391D5E">
        <w:rPr>
          <w:rFonts w:cs="Arial Hebrew Scholar" w:hint="cs"/>
          <w:szCs w:val="22"/>
        </w:rPr>
        <w:t xml:space="preserve"> </w:t>
      </w:r>
      <w:r w:rsidR="00AD48BC" w:rsidRPr="00391D5E">
        <w:rPr>
          <w:rFonts w:eastAsia="Calibri" w:cs="Calibri"/>
          <w:szCs w:val="22"/>
        </w:rPr>
        <w:t>to</w:t>
      </w:r>
      <w:r w:rsidR="00AD48BC" w:rsidRPr="00391D5E">
        <w:rPr>
          <w:rFonts w:cs="Arial Hebrew Scholar" w:hint="cs"/>
          <w:szCs w:val="22"/>
        </w:rPr>
        <w:t xml:space="preserve"> </w:t>
      </w:r>
      <w:r w:rsidR="00AD48BC" w:rsidRPr="00391D5E">
        <w:rPr>
          <w:rFonts w:eastAsia="Calibri" w:cs="Calibri"/>
          <w:szCs w:val="22"/>
        </w:rPr>
        <w:t>educate</w:t>
      </w:r>
      <w:r w:rsidR="00AD48BC" w:rsidRPr="00391D5E">
        <w:rPr>
          <w:rFonts w:cs="Arial Hebrew Scholar" w:hint="cs"/>
          <w:szCs w:val="22"/>
        </w:rPr>
        <w:t xml:space="preserve"> </w:t>
      </w:r>
      <w:r w:rsidR="00AD48BC" w:rsidRPr="00391D5E">
        <w:rPr>
          <w:rFonts w:eastAsia="Calibri" w:cs="Calibri"/>
          <w:szCs w:val="22"/>
        </w:rPr>
        <w:t>all</w:t>
      </w:r>
      <w:r w:rsidR="00AD48BC" w:rsidRPr="00391D5E">
        <w:rPr>
          <w:rFonts w:cs="Arial Hebrew Scholar" w:hint="cs"/>
          <w:szCs w:val="22"/>
        </w:rPr>
        <w:t xml:space="preserve"> </w:t>
      </w:r>
      <w:r w:rsidR="00AD48BC" w:rsidRPr="00391D5E">
        <w:rPr>
          <w:rFonts w:eastAsia="Calibri" w:cs="Calibri"/>
          <w:szCs w:val="22"/>
        </w:rPr>
        <w:t>students</w:t>
      </w:r>
      <w:r w:rsidR="00AD48BC" w:rsidRPr="00391D5E">
        <w:rPr>
          <w:rFonts w:cs="Arial Hebrew Scholar" w:hint="cs"/>
          <w:szCs w:val="22"/>
        </w:rPr>
        <w:t xml:space="preserve"> </w:t>
      </w:r>
      <w:r w:rsidR="00AD48BC" w:rsidRPr="00391D5E">
        <w:rPr>
          <w:rFonts w:eastAsia="Calibri" w:cs="Calibri"/>
          <w:szCs w:val="22"/>
        </w:rPr>
        <w:t>in</w:t>
      </w:r>
      <w:r w:rsidR="00AD48BC" w:rsidRPr="00391D5E">
        <w:rPr>
          <w:rFonts w:cs="Arial Hebrew Scholar" w:hint="cs"/>
          <w:szCs w:val="22"/>
        </w:rPr>
        <w:t xml:space="preserve"> </w:t>
      </w:r>
      <w:r w:rsidR="00AD48BC" w:rsidRPr="00391D5E">
        <w:rPr>
          <w:rFonts w:eastAsia="Calibri" w:cs="Calibri"/>
          <w:szCs w:val="22"/>
        </w:rPr>
        <w:t>the</w:t>
      </w:r>
      <w:r w:rsidR="00AD48BC" w:rsidRPr="00391D5E">
        <w:rPr>
          <w:rFonts w:cs="Arial Hebrew Scholar" w:hint="cs"/>
          <w:szCs w:val="22"/>
        </w:rPr>
        <w:t xml:space="preserve"> </w:t>
      </w:r>
      <w:r w:rsidR="00AD48BC" w:rsidRPr="00391D5E">
        <w:rPr>
          <w:rFonts w:eastAsia="Calibri" w:cs="Calibri"/>
          <w:szCs w:val="22"/>
        </w:rPr>
        <w:t>foundations</w:t>
      </w:r>
      <w:r w:rsidR="00AD48BC" w:rsidRPr="00391D5E">
        <w:rPr>
          <w:rFonts w:cs="Arial Hebrew Scholar" w:hint="cs"/>
          <w:szCs w:val="22"/>
        </w:rPr>
        <w:t xml:space="preserve"> </w:t>
      </w:r>
      <w:r w:rsidR="00AD48BC" w:rsidRPr="00391D5E">
        <w:rPr>
          <w:rFonts w:eastAsia="Calibri" w:cs="Calibri"/>
          <w:szCs w:val="22"/>
        </w:rPr>
        <w:t>of</w:t>
      </w:r>
      <w:r w:rsidR="00AD48BC" w:rsidRPr="00391D5E">
        <w:rPr>
          <w:rFonts w:cs="Arial Hebrew Scholar" w:hint="cs"/>
          <w:szCs w:val="22"/>
        </w:rPr>
        <w:t xml:space="preserve"> </w:t>
      </w:r>
      <w:r w:rsidR="00AD48BC" w:rsidRPr="00391D5E">
        <w:rPr>
          <w:rFonts w:eastAsia="Calibri" w:cs="Calibri"/>
          <w:szCs w:val="22"/>
        </w:rPr>
        <w:t>data</w:t>
      </w:r>
      <w:r w:rsidR="00AD48BC" w:rsidRPr="00391D5E">
        <w:rPr>
          <w:rFonts w:cs="Arial Hebrew Scholar" w:hint="cs"/>
          <w:szCs w:val="22"/>
        </w:rPr>
        <w:t xml:space="preserve"> </w:t>
      </w:r>
      <w:r w:rsidR="00AD48BC" w:rsidRPr="00391D5E">
        <w:rPr>
          <w:rFonts w:eastAsia="Calibri" w:cs="Calibri"/>
          <w:szCs w:val="22"/>
        </w:rPr>
        <w:t>science</w:t>
      </w:r>
      <w:r w:rsidR="00AD48BC" w:rsidRPr="00391D5E">
        <w:rPr>
          <w:rFonts w:cs="Arial Hebrew Scholar" w:hint="cs"/>
          <w:szCs w:val="22"/>
        </w:rPr>
        <w:t xml:space="preserve">, </w:t>
      </w:r>
      <w:r w:rsidR="00AD48BC" w:rsidRPr="00391D5E">
        <w:rPr>
          <w:rFonts w:eastAsia="Calibri" w:cs="Calibri"/>
          <w:szCs w:val="22"/>
        </w:rPr>
        <w:t>so</w:t>
      </w:r>
      <w:r w:rsidR="00AD48BC" w:rsidRPr="00391D5E">
        <w:rPr>
          <w:rFonts w:cs="Arial Hebrew Scholar" w:hint="cs"/>
          <w:szCs w:val="22"/>
        </w:rPr>
        <w:t xml:space="preserve"> </w:t>
      </w:r>
      <w:r w:rsidR="00AD48BC" w:rsidRPr="00391D5E">
        <w:rPr>
          <w:rFonts w:eastAsia="Calibri" w:cs="Calibri"/>
          <w:szCs w:val="22"/>
        </w:rPr>
        <w:t>they</w:t>
      </w:r>
      <w:r w:rsidR="00AD48BC" w:rsidRPr="00391D5E">
        <w:rPr>
          <w:rFonts w:cs="Arial Hebrew Scholar" w:hint="cs"/>
          <w:szCs w:val="22"/>
        </w:rPr>
        <w:t xml:space="preserve"> </w:t>
      </w:r>
      <w:r w:rsidR="00AD48BC" w:rsidRPr="00391D5E">
        <w:rPr>
          <w:rFonts w:eastAsia="Calibri" w:cs="Calibri"/>
          <w:szCs w:val="22"/>
        </w:rPr>
        <w:t>may</w:t>
      </w:r>
      <w:r w:rsidR="00AD48BC" w:rsidRPr="00391D5E">
        <w:rPr>
          <w:rFonts w:cs="Arial Hebrew Scholar" w:hint="cs"/>
          <w:szCs w:val="22"/>
        </w:rPr>
        <w:t xml:space="preserve"> </w:t>
      </w:r>
      <w:r w:rsidR="00AD48BC" w:rsidRPr="00391D5E">
        <w:rPr>
          <w:rFonts w:eastAsia="Calibri" w:cs="Calibri"/>
          <w:szCs w:val="22"/>
        </w:rPr>
        <w:t>apply</w:t>
      </w:r>
      <w:r w:rsidR="00AD48BC" w:rsidRPr="00391D5E">
        <w:rPr>
          <w:rFonts w:cs="Arial Hebrew Scholar" w:hint="cs"/>
          <w:szCs w:val="22"/>
        </w:rPr>
        <w:t xml:space="preserve"> </w:t>
      </w:r>
      <w:r w:rsidR="00AD48BC" w:rsidRPr="00391D5E">
        <w:rPr>
          <w:rFonts w:eastAsia="Calibri" w:cs="Calibri"/>
          <w:szCs w:val="22"/>
        </w:rPr>
        <w:t>those</w:t>
      </w:r>
      <w:r w:rsidR="00AD48BC" w:rsidRPr="00391D5E">
        <w:rPr>
          <w:rFonts w:cs="Arial Hebrew Scholar" w:hint="cs"/>
          <w:szCs w:val="22"/>
        </w:rPr>
        <w:t xml:space="preserve"> </w:t>
      </w:r>
      <w:r w:rsidR="00AD48BC" w:rsidRPr="00391D5E">
        <w:rPr>
          <w:rFonts w:eastAsia="Calibri" w:cs="Calibri"/>
          <w:szCs w:val="22"/>
        </w:rPr>
        <w:t>methods</w:t>
      </w:r>
      <w:r w:rsidR="00AD48BC" w:rsidRPr="00391D5E">
        <w:rPr>
          <w:rFonts w:cs="Arial Hebrew Scholar" w:hint="cs"/>
          <w:szCs w:val="22"/>
        </w:rPr>
        <w:t xml:space="preserve"> </w:t>
      </w:r>
      <w:r w:rsidR="00AD48BC" w:rsidRPr="00391D5E">
        <w:rPr>
          <w:rFonts w:eastAsia="Calibri" w:cs="Calibri"/>
          <w:szCs w:val="22"/>
        </w:rPr>
        <w:t>and</w:t>
      </w:r>
      <w:r w:rsidR="00AD48BC" w:rsidRPr="00391D5E">
        <w:rPr>
          <w:rFonts w:cs="Arial Hebrew Scholar" w:hint="cs"/>
          <w:szCs w:val="22"/>
        </w:rPr>
        <w:t xml:space="preserve"> </w:t>
      </w:r>
      <w:r w:rsidR="00AD48BC" w:rsidRPr="00391D5E">
        <w:rPr>
          <w:rFonts w:eastAsia="Calibri" w:cs="Calibri"/>
          <w:szCs w:val="22"/>
        </w:rPr>
        <w:t>techniques</w:t>
      </w:r>
      <w:r w:rsidR="00AD48BC" w:rsidRPr="00391D5E">
        <w:rPr>
          <w:rFonts w:cs="Arial Hebrew Scholar" w:hint="cs"/>
          <w:szCs w:val="22"/>
        </w:rPr>
        <w:t xml:space="preserve"> </w:t>
      </w:r>
      <w:r w:rsidR="00AD48BC" w:rsidRPr="00391D5E">
        <w:rPr>
          <w:rFonts w:eastAsia="Calibri" w:cs="Calibri"/>
          <w:szCs w:val="22"/>
        </w:rPr>
        <w:t>in</w:t>
      </w:r>
      <w:r w:rsidR="00AD48BC" w:rsidRPr="00391D5E">
        <w:rPr>
          <w:rFonts w:cs="Arial Hebrew Scholar" w:hint="cs"/>
          <w:szCs w:val="22"/>
        </w:rPr>
        <w:t xml:space="preserve"> </w:t>
      </w:r>
      <w:r w:rsidR="00AD48BC" w:rsidRPr="00391D5E">
        <w:rPr>
          <w:rFonts w:eastAsia="Calibri" w:cs="Calibri"/>
          <w:szCs w:val="22"/>
        </w:rPr>
        <w:t>current</w:t>
      </w:r>
      <w:r w:rsidR="00AD48BC" w:rsidRPr="00391D5E">
        <w:rPr>
          <w:rFonts w:cs="Arial Hebrew Scholar" w:hint="cs"/>
          <w:szCs w:val="22"/>
        </w:rPr>
        <w:t xml:space="preserve"> </w:t>
      </w:r>
      <w:r w:rsidR="00861C60" w:rsidRPr="00391D5E">
        <w:rPr>
          <w:rFonts w:eastAsia="Calibri" w:cs="Calibri"/>
          <w:szCs w:val="22"/>
        </w:rPr>
        <w:t>research</w:t>
      </w:r>
      <w:r w:rsidR="00861C60" w:rsidRPr="00391D5E">
        <w:rPr>
          <w:rFonts w:cs="Arial Hebrew Scholar" w:hint="cs"/>
          <w:szCs w:val="22"/>
        </w:rPr>
        <w:t>.</w:t>
      </w:r>
      <w:r w:rsidR="00D429E6" w:rsidRPr="00391D5E">
        <w:rPr>
          <w:rFonts w:cs="Arial Hebrew Scholar" w:hint="cs"/>
          <w:szCs w:val="22"/>
        </w:rPr>
        <w:t xml:space="preserve"> </w:t>
      </w:r>
      <w:r w:rsidR="00D429E6" w:rsidRPr="00391D5E">
        <w:rPr>
          <w:rFonts w:eastAsia="Calibri" w:cs="Calibri"/>
          <w:szCs w:val="22"/>
        </w:rPr>
        <w:t>The</w:t>
      </w:r>
      <w:r w:rsidR="00D429E6" w:rsidRPr="00391D5E">
        <w:rPr>
          <w:rFonts w:cs="Arial Hebrew Scholar" w:hint="cs"/>
          <w:szCs w:val="22"/>
        </w:rPr>
        <w:t xml:space="preserve"> </w:t>
      </w:r>
      <w:r w:rsidR="007630F6">
        <w:rPr>
          <w:rFonts w:eastAsia="Calibri" w:cs="Calibri"/>
          <w:szCs w:val="22"/>
        </w:rPr>
        <w:t>Psych</w:t>
      </w:r>
      <w:r w:rsidR="00B23D1C" w:rsidRPr="00391D5E">
        <w:rPr>
          <w:rFonts w:cs="Arial Hebrew Scholar" w:hint="cs"/>
          <w:szCs w:val="22"/>
        </w:rPr>
        <w:t xml:space="preserve"> </w:t>
      </w:r>
      <w:r w:rsidR="00B23D1C" w:rsidRPr="00391D5E">
        <w:rPr>
          <w:rFonts w:eastAsia="Calibri" w:cs="Calibri"/>
          <w:szCs w:val="22"/>
        </w:rPr>
        <w:t>DSO</w:t>
      </w:r>
      <w:r w:rsidR="00D429E6" w:rsidRPr="00391D5E">
        <w:rPr>
          <w:rFonts w:cs="Arial Hebrew Scholar" w:hint="cs"/>
          <w:szCs w:val="22"/>
        </w:rPr>
        <w:t xml:space="preserve"> </w:t>
      </w:r>
      <w:r w:rsidR="00D429E6" w:rsidRPr="00391D5E">
        <w:rPr>
          <w:rFonts w:eastAsia="Calibri" w:cs="Calibri"/>
          <w:szCs w:val="22"/>
        </w:rPr>
        <w:t>is</w:t>
      </w:r>
      <w:r w:rsidR="00D429E6" w:rsidRPr="00391D5E">
        <w:rPr>
          <w:rFonts w:cs="Arial Hebrew Scholar" w:hint="cs"/>
          <w:szCs w:val="22"/>
        </w:rPr>
        <w:t xml:space="preserve"> </w:t>
      </w:r>
      <w:r w:rsidR="00D429E6" w:rsidRPr="00391D5E">
        <w:rPr>
          <w:rFonts w:eastAsia="Calibri" w:cs="Calibri"/>
          <w:szCs w:val="22"/>
        </w:rPr>
        <w:t>designed</w:t>
      </w:r>
      <w:r w:rsidR="00B23D1C" w:rsidRPr="00391D5E">
        <w:rPr>
          <w:rFonts w:cs="Arial Hebrew Scholar" w:hint="cs"/>
          <w:szCs w:val="22"/>
        </w:rPr>
        <w:t xml:space="preserve"> </w:t>
      </w:r>
      <w:r w:rsidR="00B23D1C" w:rsidRPr="00391D5E">
        <w:rPr>
          <w:rFonts w:eastAsia="Calibri" w:cs="Calibri"/>
          <w:szCs w:val="22"/>
        </w:rPr>
        <w:t>for</w:t>
      </w:r>
      <w:r w:rsidR="00B23D1C" w:rsidRPr="00391D5E">
        <w:rPr>
          <w:rFonts w:cs="Arial Hebrew Scholar" w:hint="cs"/>
          <w:szCs w:val="22"/>
        </w:rPr>
        <w:t xml:space="preserve"> </w:t>
      </w:r>
      <w:r w:rsidR="00B23D1C" w:rsidRPr="00391D5E">
        <w:rPr>
          <w:rFonts w:eastAsia="Calibri" w:cs="Calibri"/>
          <w:szCs w:val="22"/>
        </w:rPr>
        <w:t>students</w:t>
      </w:r>
      <w:r w:rsidR="00B23D1C" w:rsidRPr="00391D5E">
        <w:rPr>
          <w:rFonts w:cs="Arial Hebrew Scholar" w:hint="cs"/>
          <w:szCs w:val="22"/>
        </w:rPr>
        <w:t xml:space="preserve"> </w:t>
      </w:r>
      <w:r w:rsidR="00B23D1C" w:rsidRPr="00391D5E">
        <w:rPr>
          <w:rFonts w:eastAsia="Calibri" w:cs="Calibri"/>
          <w:szCs w:val="22"/>
        </w:rPr>
        <w:t>with</w:t>
      </w:r>
      <w:r w:rsidR="00B23D1C" w:rsidRPr="00391D5E">
        <w:rPr>
          <w:rFonts w:cs="Arial Hebrew Scholar" w:hint="cs"/>
          <w:szCs w:val="22"/>
        </w:rPr>
        <w:t xml:space="preserve"> </w:t>
      </w:r>
      <w:r w:rsidR="00B23D1C" w:rsidRPr="00391D5E">
        <w:rPr>
          <w:rFonts w:eastAsia="Calibri" w:cs="Calibri"/>
          <w:szCs w:val="22"/>
        </w:rPr>
        <w:t>little</w:t>
      </w:r>
      <w:r w:rsidR="00B23D1C" w:rsidRPr="00391D5E">
        <w:rPr>
          <w:rFonts w:cs="Arial Hebrew Scholar" w:hint="cs"/>
          <w:szCs w:val="22"/>
        </w:rPr>
        <w:t xml:space="preserve"> </w:t>
      </w:r>
      <w:r w:rsidR="00B23D1C" w:rsidRPr="00391D5E">
        <w:rPr>
          <w:rFonts w:eastAsia="Calibri" w:cs="Calibri"/>
          <w:szCs w:val="22"/>
        </w:rPr>
        <w:t>or</w:t>
      </w:r>
      <w:r w:rsidR="00B23D1C" w:rsidRPr="00391D5E">
        <w:rPr>
          <w:rFonts w:cs="Arial Hebrew Scholar" w:hint="cs"/>
          <w:szCs w:val="22"/>
        </w:rPr>
        <w:t xml:space="preserve"> </w:t>
      </w:r>
      <w:r w:rsidR="00B23D1C" w:rsidRPr="00391D5E">
        <w:rPr>
          <w:rFonts w:eastAsia="Calibri" w:cs="Calibri"/>
          <w:szCs w:val="22"/>
        </w:rPr>
        <w:t>no</w:t>
      </w:r>
      <w:r w:rsidR="00B23D1C" w:rsidRPr="00391D5E">
        <w:rPr>
          <w:rFonts w:cs="Arial Hebrew Scholar" w:hint="cs"/>
          <w:szCs w:val="22"/>
        </w:rPr>
        <w:t xml:space="preserve"> </w:t>
      </w:r>
      <w:r w:rsidR="00553266" w:rsidRPr="00391D5E">
        <w:rPr>
          <w:rFonts w:eastAsia="Calibri" w:cs="Calibri"/>
          <w:szCs w:val="22"/>
        </w:rPr>
        <w:t>bac</w:t>
      </w:r>
      <w:r w:rsidR="00D429E6" w:rsidRPr="00391D5E">
        <w:rPr>
          <w:rFonts w:eastAsia="Calibri" w:cs="Calibri"/>
          <w:szCs w:val="22"/>
        </w:rPr>
        <w:t>kground</w:t>
      </w:r>
      <w:r w:rsidR="00D429E6" w:rsidRPr="00391D5E">
        <w:rPr>
          <w:rFonts w:cs="Arial Hebrew Scholar" w:hint="cs"/>
          <w:szCs w:val="22"/>
        </w:rPr>
        <w:t xml:space="preserve"> </w:t>
      </w:r>
      <w:r w:rsidR="00D429E6" w:rsidRPr="00391D5E">
        <w:rPr>
          <w:rFonts w:eastAsia="Calibri" w:cs="Calibri"/>
          <w:szCs w:val="22"/>
        </w:rPr>
        <w:t>in</w:t>
      </w:r>
      <w:r w:rsidR="00D429E6" w:rsidRPr="00391D5E">
        <w:rPr>
          <w:rFonts w:cs="Arial Hebrew Scholar" w:hint="cs"/>
          <w:szCs w:val="22"/>
        </w:rPr>
        <w:t xml:space="preserve"> </w:t>
      </w:r>
      <w:r w:rsidR="00D429E6" w:rsidRPr="00391D5E">
        <w:rPr>
          <w:rFonts w:eastAsia="Calibri" w:cs="Calibri"/>
          <w:szCs w:val="22"/>
        </w:rPr>
        <w:t>data</w:t>
      </w:r>
      <w:r w:rsidR="00D429E6" w:rsidRPr="00391D5E">
        <w:rPr>
          <w:rFonts w:cs="Arial Hebrew Scholar" w:hint="cs"/>
          <w:szCs w:val="22"/>
        </w:rPr>
        <w:t xml:space="preserve"> </w:t>
      </w:r>
      <w:r w:rsidR="00D429E6" w:rsidRPr="00391D5E">
        <w:rPr>
          <w:rFonts w:eastAsia="Calibri" w:cs="Calibri"/>
          <w:szCs w:val="22"/>
        </w:rPr>
        <w:t>science</w:t>
      </w:r>
      <w:r w:rsidR="00827F20" w:rsidRPr="00391D5E">
        <w:rPr>
          <w:rFonts w:cs="Arial Hebrew Scholar" w:hint="cs"/>
          <w:szCs w:val="22"/>
        </w:rPr>
        <w:t xml:space="preserve">, </w:t>
      </w:r>
      <w:r w:rsidR="00827F20" w:rsidRPr="00391D5E">
        <w:rPr>
          <w:rFonts w:eastAsia="Calibri" w:cs="Calibri"/>
          <w:szCs w:val="22"/>
        </w:rPr>
        <w:t>computer</w:t>
      </w:r>
      <w:r w:rsidR="00827F20" w:rsidRPr="00391D5E">
        <w:rPr>
          <w:rFonts w:cs="Arial Hebrew Scholar" w:hint="cs"/>
          <w:szCs w:val="22"/>
        </w:rPr>
        <w:t xml:space="preserve"> </w:t>
      </w:r>
      <w:r w:rsidR="00827F20" w:rsidRPr="00391D5E">
        <w:rPr>
          <w:rFonts w:eastAsia="Calibri" w:cs="Calibri"/>
          <w:szCs w:val="22"/>
        </w:rPr>
        <w:t>science</w:t>
      </w:r>
      <w:r w:rsidR="00827F20" w:rsidRPr="00391D5E">
        <w:rPr>
          <w:rFonts w:cs="Arial Hebrew Scholar" w:hint="cs"/>
          <w:szCs w:val="22"/>
        </w:rPr>
        <w:t xml:space="preserve"> </w:t>
      </w:r>
      <w:r w:rsidR="00827F20" w:rsidRPr="00391D5E">
        <w:rPr>
          <w:rFonts w:eastAsia="Calibri" w:cs="Calibri"/>
          <w:szCs w:val="22"/>
        </w:rPr>
        <w:t>or</w:t>
      </w:r>
      <w:r w:rsidR="00D429E6" w:rsidRPr="00391D5E">
        <w:rPr>
          <w:rFonts w:cs="Arial Hebrew Scholar" w:hint="cs"/>
          <w:szCs w:val="22"/>
        </w:rPr>
        <w:t xml:space="preserve"> </w:t>
      </w:r>
      <w:r w:rsidR="00D429E6" w:rsidRPr="00391D5E">
        <w:rPr>
          <w:rFonts w:eastAsia="Calibri" w:cs="Calibri"/>
          <w:szCs w:val="22"/>
        </w:rPr>
        <w:t>coding</w:t>
      </w:r>
      <w:r w:rsidR="00D429E6" w:rsidRPr="00391D5E">
        <w:rPr>
          <w:rFonts w:cs="Arial Hebrew Scholar" w:hint="cs"/>
          <w:szCs w:val="22"/>
        </w:rPr>
        <w:t>.</w:t>
      </w:r>
    </w:p>
    <w:p w14:paraId="49AAB19C" w14:textId="77777777" w:rsidR="00B23D1C" w:rsidRPr="00391D5E" w:rsidRDefault="00B23D1C" w:rsidP="00B23D1C">
      <w:pPr>
        <w:autoSpaceDE w:val="0"/>
        <w:autoSpaceDN w:val="0"/>
        <w:adjustRightInd w:val="0"/>
        <w:spacing w:line="240" w:lineRule="auto"/>
        <w:rPr>
          <w:rFonts w:cs="Arial Hebrew Scholar"/>
          <w:szCs w:val="22"/>
        </w:rPr>
      </w:pPr>
    </w:p>
    <w:p w14:paraId="56B1FD17" w14:textId="77777777" w:rsidR="00B23D1C" w:rsidRPr="00391D5E" w:rsidRDefault="00B23D1C" w:rsidP="00B23D1C">
      <w:pPr>
        <w:autoSpaceDE w:val="0"/>
        <w:autoSpaceDN w:val="0"/>
        <w:adjustRightInd w:val="0"/>
        <w:spacing w:line="240" w:lineRule="auto"/>
        <w:rPr>
          <w:rFonts w:cs="Arial Hebrew Scholar"/>
          <w:szCs w:val="22"/>
        </w:rPr>
      </w:pPr>
    </w:p>
    <w:p w14:paraId="13E4B1AD" w14:textId="0F2E8C70" w:rsidR="00734D03" w:rsidRDefault="00B23D1C" w:rsidP="007630F6">
      <w:pPr>
        <w:pStyle w:val="Normal1"/>
        <w:spacing w:line="240" w:lineRule="auto"/>
        <w:rPr>
          <w:rFonts w:cs="Arial Hebrew Scholar"/>
          <w:szCs w:val="22"/>
        </w:rPr>
      </w:pPr>
      <w:r w:rsidRPr="00391D5E">
        <w:rPr>
          <w:rFonts w:eastAsia="Calibri" w:cs="Calibri"/>
          <w:szCs w:val="22"/>
        </w:rPr>
        <w:t>The</w:t>
      </w:r>
      <w:r w:rsidRPr="00391D5E">
        <w:rPr>
          <w:rFonts w:cs="Arial Hebrew Scholar" w:hint="cs"/>
          <w:szCs w:val="22"/>
        </w:rPr>
        <w:t xml:space="preserve"> </w:t>
      </w:r>
      <w:r w:rsidRPr="00391D5E">
        <w:rPr>
          <w:rFonts w:eastAsia="Calibri" w:cs="Calibri"/>
          <w:szCs w:val="22"/>
        </w:rPr>
        <w:t>requirements</w:t>
      </w:r>
      <w:r w:rsidRPr="00391D5E">
        <w:rPr>
          <w:rFonts w:cs="Arial Hebrew Scholar" w:hint="cs"/>
          <w:szCs w:val="22"/>
        </w:rPr>
        <w:t xml:space="preserve"> </w:t>
      </w:r>
      <w:r w:rsidRPr="00391D5E">
        <w:rPr>
          <w:rFonts w:eastAsia="Calibri" w:cs="Calibri"/>
          <w:szCs w:val="22"/>
        </w:rPr>
        <w:t>for</w:t>
      </w:r>
      <w:r w:rsidRPr="00391D5E">
        <w:rPr>
          <w:rFonts w:cs="Arial Hebrew Scholar" w:hint="cs"/>
          <w:szCs w:val="22"/>
        </w:rPr>
        <w:t xml:space="preserve"> </w:t>
      </w:r>
      <w:r w:rsidRPr="00391D5E">
        <w:rPr>
          <w:rFonts w:eastAsia="Calibri" w:cs="Calibri"/>
          <w:szCs w:val="22"/>
        </w:rPr>
        <w:t>the</w:t>
      </w:r>
      <w:r w:rsidRPr="00391D5E">
        <w:rPr>
          <w:rFonts w:cs="Arial Hebrew Scholar" w:hint="cs"/>
          <w:szCs w:val="22"/>
        </w:rPr>
        <w:t xml:space="preserve"> </w:t>
      </w:r>
      <w:r w:rsidR="007630F6">
        <w:rPr>
          <w:rFonts w:eastAsia="Calibri" w:cs="Calibri"/>
          <w:szCs w:val="22"/>
        </w:rPr>
        <w:t>Psych</w:t>
      </w:r>
      <w:r w:rsidRPr="00391D5E">
        <w:rPr>
          <w:rFonts w:cs="Arial Hebrew Scholar" w:hint="cs"/>
          <w:szCs w:val="22"/>
        </w:rPr>
        <w:t xml:space="preserve"> </w:t>
      </w:r>
      <w:r w:rsidRPr="00391D5E">
        <w:rPr>
          <w:rFonts w:eastAsia="Calibri" w:cs="Calibri"/>
          <w:szCs w:val="22"/>
        </w:rPr>
        <w:t>DSO</w:t>
      </w:r>
      <w:r w:rsidRPr="00391D5E">
        <w:rPr>
          <w:rFonts w:cs="Arial Hebrew Scholar" w:hint="cs"/>
          <w:szCs w:val="22"/>
        </w:rPr>
        <w:t xml:space="preserve"> </w:t>
      </w:r>
      <w:r w:rsidRPr="00391D5E">
        <w:rPr>
          <w:rFonts w:eastAsia="Calibri" w:cs="Calibri"/>
          <w:szCs w:val="22"/>
        </w:rPr>
        <w:t>are</w:t>
      </w:r>
      <w:r w:rsidRPr="00391D5E">
        <w:rPr>
          <w:rFonts w:cs="Arial Hebrew Scholar" w:hint="cs"/>
          <w:szCs w:val="22"/>
        </w:rPr>
        <w:t xml:space="preserve"> </w:t>
      </w:r>
      <w:r w:rsidRPr="00391D5E">
        <w:rPr>
          <w:rFonts w:eastAsia="Calibri" w:cs="Calibri"/>
          <w:szCs w:val="22"/>
        </w:rPr>
        <w:t>as</w:t>
      </w:r>
      <w:r w:rsidRPr="00391D5E">
        <w:rPr>
          <w:rFonts w:cs="Arial Hebrew Scholar" w:hint="cs"/>
          <w:szCs w:val="22"/>
        </w:rPr>
        <w:t xml:space="preserve"> </w:t>
      </w:r>
      <w:r w:rsidRPr="00391D5E">
        <w:rPr>
          <w:rFonts w:eastAsia="Calibri" w:cs="Calibri"/>
          <w:szCs w:val="22"/>
        </w:rPr>
        <w:t>follows</w:t>
      </w:r>
      <w:r w:rsidR="00734D03" w:rsidRPr="00391D5E">
        <w:rPr>
          <w:rFonts w:cs="Arial Hebrew Scholar" w:hint="cs"/>
          <w:szCs w:val="22"/>
        </w:rPr>
        <w:t>:</w:t>
      </w:r>
    </w:p>
    <w:p w14:paraId="316CC6C3" w14:textId="77777777" w:rsidR="005B6124" w:rsidRDefault="005B6124" w:rsidP="005B6124">
      <w:pPr>
        <w:pStyle w:val="NormalWeb"/>
        <w:spacing w:before="0" w:beforeAutospacing="0" w:after="0" w:afterAutospacing="0"/>
        <w:rPr>
          <w:rFonts w:ascii="Arial" w:hAnsi="Arial" w:cs="Arial"/>
          <w:color w:val="000000"/>
          <w:sz w:val="22"/>
          <w:szCs w:val="22"/>
        </w:rPr>
      </w:pPr>
    </w:p>
    <w:p w14:paraId="1F601371" w14:textId="2622B070" w:rsidR="005B6124" w:rsidRDefault="005B6124" w:rsidP="005B6124">
      <w:pPr>
        <w:pStyle w:val="NormalWeb"/>
        <w:numPr>
          <w:ilvl w:val="0"/>
          <w:numId w:val="42"/>
        </w:numPr>
        <w:spacing w:before="0" w:beforeAutospacing="0" w:after="0" w:afterAutospacing="0"/>
      </w:pPr>
      <w:r>
        <w:rPr>
          <w:rFonts w:ascii="Arial" w:hAnsi="Arial" w:cs="Arial"/>
          <w:color w:val="000000"/>
          <w:sz w:val="22"/>
          <w:szCs w:val="22"/>
        </w:rPr>
        <w:t>Courses from two out of three of the following areas:</w:t>
      </w:r>
    </w:p>
    <w:p w14:paraId="43D69A29" w14:textId="77777777" w:rsidR="005B6124" w:rsidRDefault="005B6124" w:rsidP="005B6124">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Software development for data science</w:t>
      </w:r>
    </w:p>
    <w:p w14:paraId="1AE4F502" w14:textId="77777777" w:rsidR="005B6124" w:rsidRDefault="005B6124" w:rsidP="005B6124">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Statistics and machine learning</w:t>
      </w:r>
    </w:p>
    <w:p w14:paraId="5C980699" w14:textId="77777777" w:rsidR="005B6124" w:rsidRDefault="005B6124" w:rsidP="005B6124">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Data management and data visualization </w:t>
      </w:r>
    </w:p>
    <w:p w14:paraId="4EC08F22" w14:textId="77777777" w:rsidR="005B6124" w:rsidRDefault="005B6124" w:rsidP="005B6124">
      <w:pPr>
        <w:pStyle w:val="NormalWeb"/>
        <w:spacing w:before="0" w:beforeAutospacing="0" w:after="0" w:afterAutospacing="0"/>
        <w:ind w:left="720"/>
        <w:textAlignment w:val="baseline"/>
        <w:rPr>
          <w:rFonts w:ascii="Arial" w:hAnsi="Arial" w:cs="Arial"/>
          <w:color w:val="000000"/>
          <w:sz w:val="22"/>
          <w:szCs w:val="22"/>
        </w:rPr>
      </w:pPr>
    </w:p>
    <w:p w14:paraId="4C3FEBA2" w14:textId="77777777" w:rsidR="005B6124" w:rsidRDefault="005B6124" w:rsidP="005B6124">
      <w:pPr>
        <w:pStyle w:val="NormalWeb"/>
        <w:spacing w:before="0" w:beforeAutospacing="0" w:after="0" w:afterAutospacing="0"/>
        <w:ind w:left="720"/>
        <w:textAlignment w:val="baseline"/>
        <w:rPr>
          <w:rFonts w:ascii="Arial" w:hAnsi="Arial" w:cs="Arial"/>
          <w:color w:val="000000"/>
          <w:sz w:val="22"/>
          <w:szCs w:val="22"/>
        </w:rPr>
      </w:pPr>
    </w:p>
    <w:p w14:paraId="4B3F8F5A" w14:textId="5EA3F9AF" w:rsidR="005B6124" w:rsidRDefault="005B6124" w:rsidP="00B471D8">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 quarters of the eScience Community Seminar</w:t>
      </w:r>
      <w:r w:rsidR="00B471D8">
        <w:rPr>
          <w:rFonts w:ascii="Arial" w:hAnsi="Arial" w:cs="Arial"/>
          <w:color w:val="000000"/>
          <w:sz w:val="22"/>
          <w:szCs w:val="22"/>
        </w:rPr>
        <w:t xml:space="preserve"> (</w:t>
      </w:r>
      <w:hyperlink r:id="rId6" w:history="1">
        <w:r w:rsidR="00B471D8" w:rsidRPr="00EC7EC0">
          <w:rPr>
            <w:rStyle w:val="Hyperlink"/>
            <w:rFonts w:ascii="Arial" w:hAnsi="Arial" w:cs="Arial"/>
            <w:sz w:val="22"/>
            <w:szCs w:val="22"/>
          </w:rPr>
          <w:t>http://escience.washington.edu/get-involved/escience-community-seminar/</w:t>
        </w:r>
      </w:hyperlink>
      <w:r w:rsidR="00B471D8">
        <w:rPr>
          <w:rFonts w:ascii="Arial" w:hAnsi="Arial" w:cs="Arial"/>
          <w:color w:val="000000"/>
          <w:sz w:val="22"/>
          <w:szCs w:val="22"/>
        </w:rPr>
        <w:t>)</w:t>
      </w:r>
    </w:p>
    <w:p w14:paraId="08D37BF5" w14:textId="77777777" w:rsidR="00B471D8" w:rsidRDefault="00B471D8" w:rsidP="00B471D8">
      <w:pPr>
        <w:pStyle w:val="NormalWeb"/>
        <w:spacing w:before="0" w:beforeAutospacing="0" w:after="0" w:afterAutospacing="0"/>
        <w:ind w:left="1080"/>
        <w:textAlignment w:val="baseline"/>
        <w:rPr>
          <w:rFonts w:ascii="Arial" w:hAnsi="Arial" w:cs="Arial"/>
          <w:color w:val="000000"/>
          <w:sz w:val="22"/>
          <w:szCs w:val="22"/>
        </w:rPr>
      </w:pPr>
    </w:p>
    <w:p w14:paraId="16D34D7E" w14:textId="244BC12B" w:rsidR="00B471D8" w:rsidRDefault="00B471D8" w:rsidP="00B471D8">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Fulfillment of the Psychology Department Statistics and General Methodology requirements. Thes</w:t>
      </w:r>
      <w:r w:rsidR="00C5658C">
        <w:rPr>
          <w:rFonts w:ascii="Arial" w:hAnsi="Arial" w:cs="Arial"/>
          <w:color w:val="000000"/>
          <w:sz w:val="22"/>
          <w:szCs w:val="22"/>
        </w:rPr>
        <w:t>e</w:t>
      </w:r>
      <w:r>
        <w:rPr>
          <w:rFonts w:ascii="Arial" w:hAnsi="Arial" w:cs="Arial"/>
          <w:color w:val="000000"/>
          <w:sz w:val="22"/>
          <w:szCs w:val="22"/>
        </w:rPr>
        <w:t xml:space="preserve"> are currently the following:</w:t>
      </w:r>
    </w:p>
    <w:p w14:paraId="22A56C82" w14:textId="77777777" w:rsidR="00B471D8" w:rsidRDefault="00B471D8" w:rsidP="00B471D8">
      <w:pPr>
        <w:pStyle w:val="ListParagraph"/>
        <w:rPr>
          <w:szCs w:val="22"/>
        </w:rPr>
      </w:pPr>
    </w:p>
    <w:p w14:paraId="2513AF86" w14:textId="77777777" w:rsidR="00B471D8" w:rsidRPr="00083B8A" w:rsidRDefault="00B471D8" w:rsidP="00B471D8">
      <w:pPr>
        <w:pStyle w:val="Normal1"/>
        <w:spacing w:line="240" w:lineRule="auto"/>
        <w:ind w:left="288" w:firstLine="288"/>
        <w:rPr>
          <w:rFonts w:cs="Arial Hebrew Scholar"/>
          <w:szCs w:val="22"/>
        </w:rPr>
      </w:pPr>
      <w:r w:rsidRPr="00391D5E">
        <w:rPr>
          <w:rFonts w:eastAsia="Calibri" w:cs="Calibri"/>
          <w:szCs w:val="22"/>
        </w:rPr>
        <w:t>All</w:t>
      </w:r>
      <w:r w:rsidRPr="00391D5E">
        <w:rPr>
          <w:rFonts w:cs="Arial Hebrew Scholar" w:hint="cs"/>
          <w:szCs w:val="22"/>
        </w:rPr>
        <w:t xml:space="preserve"> </w:t>
      </w:r>
      <w:r w:rsidRPr="00391D5E">
        <w:rPr>
          <w:rFonts w:eastAsia="Calibri" w:cs="Calibri"/>
          <w:szCs w:val="22"/>
        </w:rPr>
        <w:t>students</w:t>
      </w:r>
      <w:r w:rsidRPr="00391D5E">
        <w:rPr>
          <w:rFonts w:cs="Arial Hebrew Scholar" w:hint="cs"/>
          <w:szCs w:val="22"/>
        </w:rPr>
        <w:t xml:space="preserve"> </w:t>
      </w:r>
      <w:r w:rsidRPr="00391D5E">
        <w:rPr>
          <w:rFonts w:eastAsia="Calibri" w:cs="Calibri"/>
          <w:szCs w:val="22"/>
        </w:rPr>
        <w:t>must</w:t>
      </w:r>
      <w:r w:rsidRPr="00391D5E">
        <w:rPr>
          <w:rFonts w:cs="Arial Hebrew Scholar" w:hint="cs"/>
          <w:szCs w:val="22"/>
        </w:rPr>
        <w:t xml:space="preserve"> </w:t>
      </w:r>
      <w:r>
        <w:rPr>
          <w:szCs w:val="22"/>
        </w:rPr>
        <w:t>achieve a grade of at least 2.7</w:t>
      </w:r>
      <w:r w:rsidRPr="007630F6">
        <w:rPr>
          <w:szCs w:val="22"/>
        </w:rPr>
        <w:t xml:space="preserve"> or place out of (and replace with </w:t>
      </w:r>
      <w:r>
        <w:rPr>
          <w:szCs w:val="22"/>
        </w:rPr>
        <w:t xml:space="preserve">a </w:t>
      </w:r>
      <w:r w:rsidRPr="007630F6">
        <w:rPr>
          <w:szCs w:val="22"/>
        </w:rPr>
        <w:t>higher level</w:t>
      </w:r>
      <w:r>
        <w:rPr>
          <w:szCs w:val="22"/>
        </w:rPr>
        <w:t xml:space="preserve"> course) in the following courses</w:t>
      </w:r>
      <w:r w:rsidRPr="00083B8A">
        <w:rPr>
          <w:szCs w:val="22"/>
        </w:rPr>
        <w:t>:</w:t>
      </w:r>
    </w:p>
    <w:p w14:paraId="7F415C47" w14:textId="77777777" w:rsidR="00B471D8" w:rsidRPr="007630F6" w:rsidRDefault="00B471D8" w:rsidP="00B471D8">
      <w:pPr>
        <w:autoSpaceDE w:val="0"/>
        <w:autoSpaceDN w:val="0"/>
        <w:adjustRightInd w:val="0"/>
        <w:spacing w:line="240" w:lineRule="auto"/>
        <w:ind w:left="360"/>
        <w:rPr>
          <w:szCs w:val="22"/>
        </w:rPr>
      </w:pPr>
    </w:p>
    <w:p w14:paraId="097DFD44" w14:textId="77777777" w:rsidR="00B471D8" w:rsidRPr="00083B8A" w:rsidRDefault="00B471D8" w:rsidP="00B471D8">
      <w:pPr>
        <w:autoSpaceDE w:val="0"/>
        <w:autoSpaceDN w:val="0"/>
        <w:adjustRightInd w:val="0"/>
        <w:spacing w:line="240" w:lineRule="auto"/>
        <w:ind w:left="360"/>
        <w:rPr>
          <w:b/>
          <w:bCs/>
          <w:szCs w:val="22"/>
        </w:rPr>
      </w:pPr>
      <w:r w:rsidRPr="00083B8A">
        <w:rPr>
          <w:b/>
          <w:bCs/>
          <w:szCs w:val="22"/>
        </w:rPr>
        <w:t>Psych 522 Laboratory in Statistical Computation I</w:t>
      </w:r>
    </w:p>
    <w:p w14:paraId="4169DBB7" w14:textId="77777777" w:rsidR="00B471D8" w:rsidRPr="00083B8A" w:rsidRDefault="00B471D8" w:rsidP="00B471D8">
      <w:pPr>
        <w:autoSpaceDE w:val="0"/>
        <w:autoSpaceDN w:val="0"/>
        <w:adjustRightInd w:val="0"/>
        <w:spacing w:line="240" w:lineRule="auto"/>
        <w:ind w:left="360"/>
        <w:rPr>
          <w:b/>
          <w:bCs/>
          <w:szCs w:val="22"/>
        </w:rPr>
      </w:pPr>
      <w:r w:rsidRPr="00083B8A">
        <w:rPr>
          <w:b/>
          <w:bCs/>
          <w:szCs w:val="22"/>
        </w:rPr>
        <w:t>Psych 523 Laboratory in Statistical Computation II</w:t>
      </w:r>
    </w:p>
    <w:p w14:paraId="151ED64C" w14:textId="77777777" w:rsidR="00B471D8" w:rsidRPr="00083B8A" w:rsidRDefault="00B471D8" w:rsidP="00B471D8">
      <w:pPr>
        <w:autoSpaceDE w:val="0"/>
        <w:autoSpaceDN w:val="0"/>
        <w:adjustRightInd w:val="0"/>
        <w:spacing w:line="240" w:lineRule="auto"/>
        <w:ind w:left="360"/>
        <w:rPr>
          <w:b/>
          <w:bCs/>
          <w:szCs w:val="22"/>
        </w:rPr>
      </w:pPr>
      <w:r w:rsidRPr="00083B8A">
        <w:rPr>
          <w:b/>
          <w:bCs/>
          <w:szCs w:val="22"/>
        </w:rPr>
        <w:t>Psych 524 Introduction to Statistics and Data Analysis</w:t>
      </w:r>
    </w:p>
    <w:p w14:paraId="5B0FDAC7" w14:textId="77777777" w:rsidR="00B471D8" w:rsidRPr="00083B8A" w:rsidRDefault="00B471D8" w:rsidP="00B471D8">
      <w:pPr>
        <w:pStyle w:val="Normal1"/>
        <w:spacing w:line="240" w:lineRule="auto"/>
        <w:ind w:left="360"/>
        <w:rPr>
          <w:rFonts w:cs="Arial Hebrew Scholar"/>
          <w:b/>
          <w:bCs/>
          <w:szCs w:val="22"/>
        </w:rPr>
      </w:pPr>
      <w:r w:rsidRPr="00083B8A">
        <w:rPr>
          <w:b/>
          <w:bCs/>
          <w:szCs w:val="22"/>
        </w:rPr>
        <w:t>Psych 525 Linear Models and Data Analysis</w:t>
      </w:r>
    </w:p>
    <w:p w14:paraId="0A48F4D7" w14:textId="7B593BF1" w:rsidR="00B471D8" w:rsidRDefault="00B471D8" w:rsidP="00B471D8">
      <w:pPr>
        <w:autoSpaceDE w:val="0"/>
        <w:autoSpaceDN w:val="0"/>
        <w:adjustRightInd w:val="0"/>
        <w:spacing w:line="240" w:lineRule="auto"/>
        <w:rPr>
          <w:szCs w:val="22"/>
        </w:rPr>
      </w:pPr>
      <w:r>
        <w:rPr>
          <w:szCs w:val="22"/>
        </w:rPr>
        <w:tab/>
      </w:r>
    </w:p>
    <w:p w14:paraId="2BE588D7" w14:textId="1FBF6471" w:rsidR="00B471D8" w:rsidRDefault="00B471D8" w:rsidP="00B471D8">
      <w:pPr>
        <w:autoSpaceDE w:val="0"/>
        <w:autoSpaceDN w:val="0"/>
        <w:adjustRightInd w:val="0"/>
        <w:spacing w:line="240" w:lineRule="auto"/>
        <w:ind w:firstLine="288"/>
        <w:rPr>
          <w:szCs w:val="22"/>
        </w:rPr>
      </w:pPr>
      <w:r>
        <w:rPr>
          <w:szCs w:val="22"/>
        </w:rPr>
        <w:t>These classes are taught annually and are part of the current 1</w:t>
      </w:r>
      <w:r w:rsidRPr="002D774A">
        <w:rPr>
          <w:szCs w:val="22"/>
          <w:vertAlign w:val="superscript"/>
        </w:rPr>
        <w:t>st</w:t>
      </w:r>
      <w:r>
        <w:rPr>
          <w:szCs w:val="22"/>
        </w:rPr>
        <w:t xml:space="preserve"> year requirements for Psychology graduate students. </w:t>
      </w:r>
      <w:r>
        <w:rPr>
          <w:szCs w:val="22"/>
        </w:rPr>
        <w:br/>
      </w:r>
    </w:p>
    <w:p w14:paraId="0C7D0FB5" w14:textId="6AD937F4" w:rsidR="00B471D8" w:rsidRDefault="00B471D8" w:rsidP="00B471D8">
      <w:pPr>
        <w:autoSpaceDE w:val="0"/>
        <w:autoSpaceDN w:val="0"/>
        <w:adjustRightInd w:val="0"/>
        <w:spacing w:line="240" w:lineRule="auto"/>
        <w:rPr>
          <w:szCs w:val="22"/>
        </w:rPr>
      </w:pPr>
      <w:r>
        <w:rPr>
          <w:szCs w:val="22"/>
        </w:rPr>
        <w:t xml:space="preserve">In addition, ALL students are required to take at least one additional course in quantitative methods (statistics, mathematics, or computational science) OR in a methodology directly relevant to their area of focus. Such courses are to be specified in each student’s Individualized Training Plan. Some classes in the Data Science Option will meet this course requirement, including (though not limited to </w:t>
      </w:r>
      <w:r w:rsidRPr="008D757B">
        <w:rPr>
          <w:szCs w:val="22"/>
        </w:rPr>
        <w:t>STAT 416, STAT 527, 535, 509, 512, 513)</w:t>
      </w:r>
      <w:r>
        <w:rPr>
          <w:szCs w:val="22"/>
        </w:rPr>
        <w:t xml:space="preserve"> </w:t>
      </w:r>
    </w:p>
    <w:p w14:paraId="097F7FDF" w14:textId="77777777" w:rsidR="00B471D8" w:rsidRDefault="00B471D8" w:rsidP="00B471D8">
      <w:pPr>
        <w:autoSpaceDE w:val="0"/>
        <w:autoSpaceDN w:val="0"/>
        <w:adjustRightInd w:val="0"/>
        <w:spacing w:line="240" w:lineRule="auto"/>
        <w:rPr>
          <w:szCs w:val="22"/>
        </w:rPr>
      </w:pPr>
    </w:p>
    <w:p w14:paraId="3417C322" w14:textId="09048FE6" w:rsidR="00B471D8" w:rsidRDefault="00B471D8" w:rsidP="00B471D8">
      <w:pPr>
        <w:autoSpaceDE w:val="0"/>
        <w:autoSpaceDN w:val="0"/>
        <w:adjustRightInd w:val="0"/>
        <w:spacing w:line="240" w:lineRule="auto"/>
        <w:rPr>
          <w:szCs w:val="22"/>
        </w:rPr>
      </w:pPr>
      <w:r>
        <w:rPr>
          <w:szCs w:val="22"/>
        </w:rPr>
        <w:t>*****************************************************************************************</w:t>
      </w:r>
    </w:p>
    <w:p w14:paraId="2F1F45E9" w14:textId="77777777" w:rsidR="00B471D8" w:rsidRDefault="00B471D8" w:rsidP="00B471D8">
      <w:pPr>
        <w:pStyle w:val="NormalWeb"/>
        <w:spacing w:before="0" w:beforeAutospacing="0" w:after="0" w:afterAutospacing="0"/>
        <w:ind w:left="1080"/>
        <w:textAlignment w:val="baseline"/>
        <w:rPr>
          <w:rFonts w:ascii="Arial" w:hAnsi="Arial" w:cs="Arial"/>
          <w:color w:val="000000"/>
          <w:sz w:val="22"/>
          <w:szCs w:val="22"/>
        </w:rPr>
      </w:pPr>
    </w:p>
    <w:p w14:paraId="498C73E9" w14:textId="77777777" w:rsidR="005B6124" w:rsidRDefault="005B6124" w:rsidP="005B6124">
      <w:pPr>
        <w:pStyle w:val="Heading2"/>
        <w:spacing w:before="360" w:after="120"/>
      </w:pPr>
      <w:r>
        <w:rPr>
          <w:rFonts w:ascii="Arial" w:hAnsi="Arial" w:cs="Arial"/>
          <w:b w:val="0"/>
          <w:bCs/>
          <w:sz w:val="32"/>
          <w:szCs w:val="32"/>
        </w:rPr>
        <w:lastRenderedPageBreak/>
        <w:t>1. Software development for data science</w:t>
      </w:r>
    </w:p>
    <w:p w14:paraId="2C4793F4" w14:textId="77777777" w:rsidR="005B6124" w:rsidRDefault="005B6124" w:rsidP="005B6124">
      <w:pPr>
        <w:pStyle w:val="NormalWeb"/>
        <w:spacing w:before="0" w:beforeAutospacing="0" w:after="0" w:afterAutospacing="0"/>
        <w:ind w:firstLine="360"/>
      </w:pPr>
      <w:r>
        <w:rPr>
          <w:rFonts w:ascii="Arial" w:hAnsi="Arial" w:cs="Arial"/>
          <w:color w:val="000000"/>
          <w:sz w:val="22"/>
          <w:szCs w:val="22"/>
        </w:rPr>
        <w:t>HIGHLY RECOMMENDED:</w:t>
      </w:r>
    </w:p>
    <w:p w14:paraId="5103B71B" w14:textId="4A4AEEA2" w:rsidR="005B6124" w:rsidRDefault="00BE307C" w:rsidP="005B6124">
      <w:pPr>
        <w:pStyle w:val="NormalWeb"/>
        <w:numPr>
          <w:ilvl w:val="0"/>
          <w:numId w:val="35"/>
        </w:numPr>
        <w:spacing w:before="0" w:beforeAutospacing="0" w:after="0" w:afterAutospacing="0"/>
        <w:ind w:left="1080"/>
        <w:textAlignment w:val="baseline"/>
        <w:rPr>
          <w:rFonts w:ascii="Arial" w:hAnsi="Arial" w:cs="Arial"/>
          <w:color w:val="000000"/>
          <w:sz w:val="22"/>
          <w:szCs w:val="22"/>
        </w:rPr>
      </w:pPr>
      <w:r>
        <w:rPr>
          <w:rFonts w:ascii="Arial" w:hAnsi="Arial" w:cs="Arial"/>
          <w:color w:val="333333"/>
          <w:sz w:val="22"/>
          <w:szCs w:val="22"/>
          <w:shd w:val="clear" w:color="auto" w:fill="FFFFFF"/>
        </w:rPr>
        <w:t>Software Development for Data Scientists</w:t>
      </w:r>
      <w:r w:rsidR="005B6124">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CSE 583</w:t>
      </w:r>
      <w:r w:rsidR="005B6124">
        <w:rPr>
          <w:rFonts w:ascii="Arial" w:hAnsi="Arial" w:cs="Arial"/>
          <w:color w:val="333333"/>
          <w:sz w:val="22"/>
          <w:szCs w:val="22"/>
          <w:shd w:val="clear" w:color="auto" w:fill="FFFFFF"/>
        </w:rPr>
        <w:t>)</w:t>
      </w:r>
    </w:p>
    <w:p w14:paraId="16945AE2" w14:textId="07354955" w:rsidR="005B6124" w:rsidRDefault="005B6124" w:rsidP="005B6124">
      <w:pPr>
        <w:pStyle w:val="NormalWeb"/>
        <w:numPr>
          <w:ilvl w:val="0"/>
          <w:numId w:val="35"/>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Software Engineering for </w:t>
      </w:r>
      <w:r w:rsidR="00BE307C">
        <w:rPr>
          <w:rFonts w:ascii="Arial" w:hAnsi="Arial" w:cs="Arial"/>
          <w:color w:val="000000"/>
          <w:sz w:val="22"/>
          <w:szCs w:val="22"/>
        </w:rPr>
        <w:t xml:space="preserve">Molecular </w:t>
      </w:r>
      <w:r>
        <w:rPr>
          <w:rFonts w:ascii="Arial" w:hAnsi="Arial" w:cs="Arial"/>
          <w:color w:val="000000"/>
          <w:sz w:val="22"/>
          <w:szCs w:val="22"/>
        </w:rPr>
        <w:t>Da</w:t>
      </w:r>
      <w:r w:rsidR="00BE307C">
        <w:rPr>
          <w:rFonts w:ascii="Arial" w:hAnsi="Arial" w:cs="Arial"/>
          <w:color w:val="000000"/>
          <w:sz w:val="22"/>
          <w:szCs w:val="22"/>
        </w:rPr>
        <w:t>ta Scientists (ChemE 546</w:t>
      </w:r>
      <w:r>
        <w:rPr>
          <w:rFonts w:ascii="Arial" w:hAnsi="Arial" w:cs="Arial"/>
          <w:color w:val="000000"/>
          <w:sz w:val="22"/>
          <w:szCs w:val="22"/>
        </w:rPr>
        <w:t>)</w:t>
      </w:r>
    </w:p>
    <w:p w14:paraId="546F3BEF" w14:textId="77777777" w:rsidR="005B6124" w:rsidRDefault="005B6124" w:rsidP="005B6124">
      <w:pPr>
        <w:pStyle w:val="Heading2"/>
        <w:spacing w:before="360" w:after="120"/>
        <w:rPr>
          <w:rFonts w:ascii="Times New Roman" w:hAnsi="Times New Roman" w:cs="Times New Roman"/>
          <w:color w:val="auto"/>
          <w:sz w:val="36"/>
          <w:szCs w:val="36"/>
        </w:rPr>
      </w:pPr>
      <w:r>
        <w:rPr>
          <w:rFonts w:ascii="Arial" w:hAnsi="Arial" w:cs="Arial"/>
          <w:b w:val="0"/>
          <w:bCs/>
          <w:sz w:val="32"/>
          <w:szCs w:val="32"/>
        </w:rPr>
        <w:t>2. Statistics and machine learning</w:t>
      </w:r>
    </w:p>
    <w:p w14:paraId="4A5B23A1" w14:textId="77777777" w:rsidR="005B6124" w:rsidRDefault="005B6124" w:rsidP="005B6124">
      <w:pPr>
        <w:pStyle w:val="NormalWeb"/>
        <w:spacing w:before="0" w:beforeAutospacing="0" w:after="0" w:afterAutospacing="0"/>
        <w:ind w:left="360"/>
      </w:pPr>
      <w:r>
        <w:rPr>
          <w:rFonts w:ascii="Arial" w:hAnsi="Arial" w:cs="Arial"/>
          <w:color w:val="000000"/>
          <w:sz w:val="22"/>
          <w:szCs w:val="22"/>
        </w:rPr>
        <w:t>HIGHLY RECOMMENDED:</w:t>
      </w:r>
    </w:p>
    <w:p w14:paraId="2572AF3B" w14:textId="72E5DFD5" w:rsidR="005B6124" w:rsidRDefault="00BE307C" w:rsidP="005B6124">
      <w:pPr>
        <w:pStyle w:val="NormalWeb"/>
        <w:numPr>
          <w:ilvl w:val="0"/>
          <w:numId w:val="3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Introduction to </w:t>
      </w:r>
      <w:r w:rsidR="005B6124">
        <w:rPr>
          <w:rFonts w:ascii="Arial" w:hAnsi="Arial" w:cs="Arial"/>
          <w:color w:val="000000"/>
          <w:sz w:val="22"/>
          <w:szCs w:val="22"/>
        </w:rPr>
        <w:t>Machine learning: CSE416/STAT416</w:t>
      </w:r>
    </w:p>
    <w:p w14:paraId="4BC536E3" w14:textId="77777777" w:rsidR="005B6124" w:rsidRDefault="005B6124" w:rsidP="005B6124">
      <w:pPr>
        <w:rPr>
          <w:rFonts w:ascii="Times New Roman" w:hAnsi="Times New Roman" w:cs="Times New Roman"/>
          <w:color w:val="auto"/>
          <w:sz w:val="24"/>
          <w:szCs w:val="24"/>
        </w:rPr>
      </w:pPr>
    </w:p>
    <w:p w14:paraId="67D78C90" w14:textId="77777777" w:rsidR="005B6124" w:rsidRDefault="005B6124" w:rsidP="005B6124">
      <w:pPr>
        <w:pStyle w:val="NormalWeb"/>
        <w:spacing w:before="0" w:beforeAutospacing="0" w:after="0" w:afterAutospacing="0"/>
        <w:ind w:firstLine="360"/>
      </w:pPr>
      <w:r>
        <w:rPr>
          <w:rFonts w:ascii="Arial" w:hAnsi="Arial" w:cs="Arial"/>
          <w:color w:val="000000"/>
          <w:sz w:val="22"/>
          <w:szCs w:val="22"/>
        </w:rPr>
        <w:t>ALTERNATIVES:</w:t>
      </w:r>
    </w:p>
    <w:p w14:paraId="533851F1" w14:textId="77777777" w:rsidR="005B6124" w:rsidRDefault="005B6124" w:rsidP="005B6124">
      <w:pPr>
        <w:pStyle w:val="NormalWeb"/>
        <w:numPr>
          <w:ilvl w:val="0"/>
          <w:numId w:val="37"/>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Nonparametric regression and classification (STAT 527) </w:t>
      </w:r>
    </w:p>
    <w:p w14:paraId="32AC7E64" w14:textId="77777777" w:rsidR="005B6124" w:rsidRDefault="005B6124" w:rsidP="005B6124">
      <w:pPr>
        <w:rPr>
          <w:rFonts w:ascii="Times New Roman" w:hAnsi="Times New Roman" w:cs="Times New Roman"/>
          <w:color w:val="auto"/>
          <w:sz w:val="24"/>
          <w:szCs w:val="24"/>
        </w:rPr>
      </w:pPr>
    </w:p>
    <w:p w14:paraId="1E799520" w14:textId="77777777" w:rsidR="005B6124" w:rsidRDefault="005B6124" w:rsidP="005B6124">
      <w:pPr>
        <w:pStyle w:val="NormalWeb"/>
        <w:spacing w:before="0" w:beforeAutospacing="0" w:after="0" w:afterAutospacing="0"/>
        <w:ind w:firstLine="360"/>
      </w:pPr>
      <w:r>
        <w:rPr>
          <w:rFonts w:ascii="Arial" w:hAnsi="Arial" w:cs="Arial"/>
          <w:color w:val="000000"/>
          <w:sz w:val="22"/>
          <w:szCs w:val="22"/>
        </w:rPr>
        <w:t>ADVANCED OPTION:</w:t>
      </w:r>
    </w:p>
    <w:p w14:paraId="395ABB73" w14:textId="77777777" w:rsidR="005B6124" w:rsidRDefault="005B6124" w:rsidP="005B6124">
      <w:pPr>
        <w:pStyle w:val="NormalWeb"/>
        <w:numPr>
          <w:ilvl w:val="0"/>
          <w:numId w:val="3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Machine Learning: (CSE 546 or STAT 535) also serves for the “Advanced Data Science Option”</w:t>
      </w:r>
    </w:p>
    <w:p w14:paraId="68D607E9" w14:textId="77777777" w:rsidR="005B6124" w:rsidRDefault="005B6124" w:rsidP="005B6124">
      <w:pPr>
        <w:pStyle w:val="NormalWeb"/>
        <w:numPr>
          <w:ilvl w:val="0"/>
          <w:numId w:val="3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Introduction to Mathematical Statistics (STAT 509) and Statistical Inference (STAT 512-513) also serves for the “Advanced Data Science Option”</w:t>
      </w:r>
    </w:p>
    <w:p w14:paraId="75FA6D61" w14:textId="77777777" w:rsidR="005B6124" w:rsidRDefault="005B6124" w:rsidP="005B6124">
      <w:pPr>
        <w:pStyle w:val="Heading2"/>
        <w:spacing w:before="360" w:after="120"/>
        <w:rPr>
          <w:rFonts w:ascii="Times New Roman" w:hAnsi="Times New Roman" w:cs="Times New Roman"/>
          <w:color w:val="auto"/>
          <w:sz w:val="36"/>
          <w:szCs w:val="36"/>
        </w:rPr>
      </w:pPr>
      <w:r>
        <w:rPr>
          <w:rFonts w:ascii="Arial" w:hAnsi="Arial" w:cs="Arial"/>
          <w:b w:val="0"/>
          <w:bCs/>
          <w:sz w:val="32"/>
          <w:szCs w:val="32"/>
        </w:rPr>
        <w:t>3. Data management and data visualization</w:t>
      </w:r>
    </w:p>
    <w:p w14:paraId="2343061F" w14:textId="77777777" w:rsidR="005B6124" w:rsidRDefault="005B6124" w:rsidP="005B6124">
      <w:pPr>
        <w:pStyle w:val="NormalWeb"/>
        <w:spacing w:before="0" w:beforeAutospacing="0" w:after="0" w:afterAutospacing="0"/>
        <w:ind w:firstLine="360"/>
      </w:pPr>
      <w:r>
        <w:rPr>
          <w:rFonts w:ascii="Arial" w:hAnsi="Arial" w:cs="Arial"/>
          <w:color w:val="000000"/>
          <w:sz w:val="22"/>
          <w:szCs w:val="22"/>
        </w:rPr>
        <w:t>HIGHLY RECOMMENDED:</w:t>
      </w:r>
    </w:p>
    <w:p w14:paraId="5D4E8BAE" w14:textId="594F0660" w:rsidR="005B6124" w:rsidRDefault="00BE307C" w:rsidP="005B6124">
      <w:pPr>
        <w:pStyle w:val="NormalWeb"/>
        <w:numPr>
          <w:ilvl w:val="0"/>
          <w:numId w:val="39"/>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Introduction to Database S</w:t>
      </w:r>
      <w:r w:rsidR="005B6124">
        <w:rPr>
          <w:rFonts w:ascii="Arial" w:hAnsi="Arial" w:cs="Arial"/>
          <w:color w:val="000000"/>
          <w:sz w:val="22"/>
          <w:szCs w:val="22"/>
        </w:rPr>
        <w:t xml:space="preserve">ystems (CSE 414) </w:t>
      </w:r>
    </w:p>
    <w:p w14:paraId="456D32AD" w14:textId="0ABAE66A" w:rsidR="005B6124" w:rsidRPr="008D757B" w:rsidRDefault="005B6124" w:rsidP="008D757B">
      <w:pPr>
        <w:pStyle w:val="NormalWeb"/>
        <w:numPr>
          <w:ilvl w:val="0"/>
          <w:numId w:val="39"/>
        </w:numPr>
        <w:spacing w:before="0" w:beforeAutospacing="0" w:after="0" w:afterAutospacing="0"/>
        <w:ind w:left="1080"/>
        <w:textAlignment w:val="baseline"/>
      </w:pPr>
      <w:r>
        <w:rPr>
          <w:rFonts w:ascii="Arial" w:hAnsi="Arial" w:cs="Arial"/>
          <w:color w:val="000000"/>
          <w:sz w:val="22"/>
          <w:szCs w:val="22"/>
        </w:rPr>
        <w:t xml:space="preserve">Information </w:t>
      </w:r>
      <w:r w:rsidR="00BE307C">
        <w:rPr>
          <w:rFonts w:ascii="Arial" w:hAnsi="Arial" w:cs="Arial"/>
          <w:color w:val="000000"/>
          <w:sz w:val="22"/>
          <w:szCs w:val="22"/>
        </w:rPr>
        <w:t xml:space="preserve">for </w:t>
      </w:r>
      <w:r>
        <w:rPr>
          <w:rFonts w:ascii="Arial" w:hAnsi="Arial" w:cs="Arial"/>
          <w:color w:val="000000"/>
          <w:sz w:val="22"/>
          <w:szCs w:val="22"/>
        </w:rPr>
        <w:t xml:space="preserve">Visualization (HCDE 411/511) </w:t>
      </w:r>
    </w:p>
    <w:p w14:paraId="3CE17F1C" w14:textId="77777777" w:rsidR="008D757B" w:rsidRDefault="008D757B" w:rsidP="008D757B">
      <w:pPr>
        <w:pStyle w:val="NormalWeb"/>
        <w:spacing w:before="0" w:beforeAutospacing="0" w:after="0" w:afterAutospacing="0"/>
        <w:ind w:left="1080"/>
        <w:textAlignment w:val="baseline"/>
      </w:pPr>
    </w:p>
    <w:p w14:paraId="093DE05B" w14:textId="77777777" w:rsidR="005B6124" w:rsidRDefault="005B6124" w:rsidP="005B6124">
      <w:pPr>
        <w:pStyle w:val="NormalWeb"/>
        <w:spacing w:before="0" w:beforeAutospacing="0" w:after="0" w:afterAutospacing="0"/>
        <w:ind w:firstLine="360"/>
      </w:pPr>
      <w:r>
        <w:rPr>
          <w:rFonts w:ascii="Arial" w:hAnsi="Arial" w:cs="Arial"/>
          <w:color w:val="000000"/>
          <w:sz w:val="22"/>
          <w:szCs w:val="22"/>
        </w:rPr>
        <w:t>ADVANCED OPTION:</w:t>
      </w:r>
    </w:p>
    <w:p w14:paraId="25D4BDCE" w14:textId="60C90284" w:rsidR="005B6124" w:rsidRDefault="00BE307C" w:rsidP="005B6124">
      <w:pPr>
        <w:pStyle w:val="NormalWeb"/>
        <w:numPr>
          <w:ilvl w:val="0"/>
          <w:numId w:val="40"/>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Principles of DBMS</w:t>
      </w:r>
      <w:r w:rsidR="005B6124">
        <w:rPr>
          <w:rFonts w:ascii="Arial" w:hAnsi="Arial" w:cs="Arial"/>
          <w:color w:val="000000"/>
          <w:sz w:val="22"/>
          <w:szCs w:val="22"/>
        </w:rPr>
        <w:t xml:space="preserve"> (CSE 544) also serves for the “Advanced Data Science Option” </w:t>
      </w:r>
    </w:p>
    <w:p w14:paraId="6D824AE5" w14:textId="77777777" w:rsidR="005B6124" w:rsidRDefault="005B6124" w:rsidP="005B6124">
      <w:pPr>
        <w:pStyle w:val="NormalWeb"/>
        <w:numPr>
          <w:ilvl w:val="0"/>
          <w:numId w:val="40"/>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Data Visualization (CSE 512)  also serves for the “Advanced Data Science Option” </w:t>
      </w:r>
    </w:p>
    <w:p w14:paraId="4C69A1EC" w14:textId="77777777" w:rsidR="005B6124" w:rsidRDefault="005B6124" w:rsidP="005B6124">
      <w:pPr>
        <w:pStyle w:val="Heading2"/>
        <w:spacing w:before="360" w:after="120"/>
      </w:pPr>
      <w:r>
        <w:rPr>
          <w:rFonts w:ascii="Arial" w:hAnsi="Arial" w:cs="Arial"/>
          <w:b w:val="0"/>
          <w:bCs/>
          <w:sz w:val="32"/>
          <w:szCs w:val="32"/>
        </w:rPr>
        <w:t>eScience Community Seminar</w:t>
      </w:r>
    </w:p>
    <w:p w14:paraId="0B75C0CA" w14:textId="77777777" w:rsidR="005B6124" w:rsidRDefault="005B6124" w:rsidP="005B6124">
      <w:pPr>
        <w:pStyle w:val="NormalWeb"/>
        <w:spacing w:before="0" w:beforeAutospacing="0" w:after="0" w:afterAutospacing="0"/>
        <w:ind w:firstLine="360"/>
      </w:pPr>
      <w:r>
        <w:rPr>
          <w:rFonts w:ascii="Arial" w:hAnsi="Arial" w:cs="Arial"/>
          <w:color w:val="000000"/>
          <w:sz w:val="22"/>
          <w:szCs w:val="22"/>
        </w:rPr>
        <w:t xml:space="preserve">Two quarters of the eScience Community Seminar </w:t>
      </w:r>
    </w:p>
    <w:p w14:paraId="3F71C7FF" w14:textId="5F723A1F" w:rsidR="005B6124" w:rsidRDefault="005B6124" w:rsidP="005B6124">
      <w:pPr>
        <w:pStyle w:val="NormalWeb"/>
        <w:spacing w:before="0" w:beforeAutospacing="0" w:after="0" w:afterAutospacing="0"/>
        <w:ind w:left="720" w:firstLine="360"/>
      </w:pPr>
    </w:p>
    <w:p w14:paraId="58EDBB5B" w14:textId="419A6283" w:rsidR="00083B8A" w:rsidRPr="00083B8A" w:rsidRDefault="00083B8A" w:rsidP="00083B8A">
      <w:pPr>
        <w:pStyle w:val="Heading2"/>
      </w:pPr>
      <w:r w:rsidRPr="00083B8A">
        <w:t>Rationale</w:t>
      </w:r>
      <w:r w:rsidR="009146FF">
        <w:t xml:space="preserve"> for Adding a Data Science Option</w:t>
      </w:r>
    </w:p>
    <w:p w14:paraId="68F844EB" w14:textId="77777777" w:rsidR="00083B8A" w:rsidRDefault="00083B8A" w:rsidP="00083B8A">
      <w:pPr>
        <w:pStyle w:val="Normal1"/>
        <w:spacing w:line="240" w:lineRule="auto"/>
        <w:ind w:right="340"/>
        <w:rPr>
          <w:rFonts w:cs="Arial Hebrew Scholar"/>
        </w:rPr>
      </w:pPr>
      <w:r w:rsidRPr="00083B8A">
        <w:rPr>
          <w:rFonts w:cs="Arial Hebrew Scholar"/>
        </w:rPr>
        <w:t>The path to deep scientific discoveries is changing rapidly. Most disciplines, from physical to life sciences, have entered an era where discovery is no longer limited by the collection and processing of data, but by the management, analysis, and visualization of this information. Novel developm</w:t>
      </w:r>
      <w:r>
        <w:rPr>
          <w:rFonts w:cs="Arial Hebrew Scholar"/>
        </w:rPr>
        <w:t>ents in instrumentation have le</w:t>
      </w:r>
      <w:r w:rsidRPr="00083B8A">
        <w:rPr>
          <w:rFonts w:cs="Arial Hebrew Scholar"/>
        </w:rPr>
        <w:t xml:space="preserve">d to a tremendous increase in the volume of this data, forcing scientists to perform analyses on data that is too big for standard </w:t>
      </w:r>
      <w:r>
        <w:rPr>
          <w:rFonts w:cs="Arial Hebrew Scholar"/>
        </w:rPr>
        <w:t xml:space="preserve">desktop computing tools. Thus, </w:t>
      </w:r>
      <w:r w:rsidRPr="00083B8A">
        <w:rPr>
          <w:rFonts w:cs="Arial Hebrew Scholar"/>
        </w:rPr>
        <w:t xml:space="preserve">rising scholars need the skills to process big data. </w:t>
      </w:r>
    </w:p>
    <w:p w14:paraId="1054CD3B" w14:textId="77777777" w:rsidR="00083B8A" w:rsidRDefault="00083B8A" w:rsidP="00083B8A">
      <w:pPr>
        <w:pStyle w:val="Normal1"/>
        <w:spacing w:line="240" w:lineRule="auto"/>
        <w:ind w:right="340"/>
        <w:rPr>
          <w:rFonts w:cs="Arial Hebrew Scholar"/>
        </w:rPr>
      </w:pPr>
    </w:p>
    <w:p w14:paraId="33398A52" w14:textId="643E1D4D" w:rsidR="00083B8A" w:rsidRDefault="00083B8A" w:rsidP="00083B8A">
      <w:pPr>
        <w:pStyle w:val="Normal1"/>
        <w:spacing w:line="240" w:lineRule="auto"/>
        <w:ind w:right="340"/>
        <w:rPr>
          <w:rFonts w:cs="Arial Hebrew Scholar"/>
        </w:rPr>
      </w:pPr>
      <w:r w:rsidRPr="00083B8A">
        <w:rPr>
          <w:rFonts w:cs="Arial Hebrew Scholar"/>
        </w:rPr>
        <w:t xml:space="preserve">To harness the opportunities that big data brings, the next generation of scientists requires education both in a domain science and in methods for data management, analysis, and visualization. </w:t>
      </w:r>
      <w:r>
        <w:rPr>
          <w:rFonts w:cs="Arial Hebrew Scholar"/>
        </w:rPr>
        <w:t>Thus</w:t>
      </w:r>
      <w:r w:rsidRPr="00083B8A">
        <w:rPr>
          <w:rFonts w:cs="Arial Hebrew Scholar"/>
        </w:rPr>
        <w:t xml:space="preserve">, many graduate students in </w:t>
      </w:r>
      <w:r>
        <w:rPr>
          <w:rFonts w:cs="Arial Hebrew Scholar"/>
        </w:rPr>
        <w:t xml:space="preserve">Psychology </w:t>
      </w:r>
      <w:r w:rsidRPr="00083B8A">
        <w:rPr>
          <w:rFonts w:cs="Arial Hebrew Scholar"/>
        </w:rPr>
        <w:t>need an education that focuses on building the next generation of data science tools and knowledge in the application of these tools in a discipline-specific manner.</w:t>
      </w:r>
      <w:r w:rsidR="009146FF">
        <w:rPr>
          <w:rFonts w:cs="Arial Hebrew Scholar"/>
        </w:rPr>
        <w:t xml:space="preserve"> </w:t>
      </w:r>
    </w:p>
    <w:p w14:paraId="3DF70397" w14:textId="485191EB" w:rsidR="009146FF" w:rsidRDefault="009146FF" w:rsidP="00083B8A">
      <w:pPr>
        <w:pStyle w:val="Normal1"/>
        <w:spacing w:line="240" w:lineRule="auto"/>
        <w:ind w:right="340"/>
        <w:rPr>
          <w:rFonts w:cs="Arial Hebrew Scholar"/>
        </w:rPr>
      </w:pPr>
    </w:p>
    <w:p w14:paraId="7C57CAF2" w14:textId="2DD64786" w:rsidR="009146FF" w:rsidRDefault="009146FF" w:rsidP="00083B8A">
      <w:pPr>
        <w:pStyle w:val="Normal1"/>
        <w:spacing w:line="240" w:lineRule="auto"/>
        <w:ind w:right="340"/>
        <w:rPr>
          <w:rFonts w:cs="Arial Hebrew Scholar"/>
        </w:rPr>
      </w:pPr>
      <w:r>
        <w:rPr>
          <w:rFonts w:cs="Arial Hebrew Scholar"/>
        </w:rPr>
        <w:t xml:space="preserve">In addition, given the small number of tenure-track positions available to students and postdocs, experience in data science opens up additional career paths for graduate students. </w:t>
      </w:r>
    </w:p>
    <w:p w14:paraId="4DD104F7" w14:textId="77777777" w:rsidR="00083B8A" w:rsidRPr="00083B8A" w:rsidRDefault="00083B8A" w:rsidP="00083B8A">
      <w:pPr>
        <w:pStyle w:val="Normal1"/>
        <w:spacing w:line="240" w:lineRule="auto"/>
        <w:ind w:right="340"/>
        <w:rPr>
          <w:rFonts w:cs="Arial Hebrew Scholar"/>
        </w:rPr>
      </w:pPr>
    </w:p>
    <w:p w14:paraId="417C33B8" w14:textId="77777777" w:rsidR="00083B8A" w:rsidRPr="00083B8A" w:rsidRDefault="00083B8A" w:rsidP="00083B8A">
      <w:pPr>
        <w:pStyle w:val="Heading2"/>
      </w:pPr>
      <w:r w:rsidRPr="00083B8A">
        <w:t>Administrative Location</w:t>
      </w:r>
    </w:p>
    <w:p w14:paraId="54D90211" w14:textId="70D66C8D" w:rsidR="00083B8A" w:rsidRPr="00083B8A" w:rsidRDefault="00083B8A" w:rsidP="00083B8A">
      <w:pPr>
        <w:pStyle w:val="Normal1"/>
        <w:spacing w:line="240" w:lineRule="auto"/>
        <w:ind w:right="340"/>
        <w:rPr>
          <w:rFonts w:cs="Arial Hebrew Scholar"/>
        </w:rPr>
      </w:pPr>
      <w:r w:rsidRPr="00083B8A">
        <w:rPr>
          <w:rFonts w:cs="Arial Hebrew Scholar"/>
        </w:rPr>
        <w:t xml:space="preserve">The </w:t>
      </w:r>
      <w:r>
        <w:rPr>
          <w:rFonts w:cs="Arial Hebrew Scholar"/>
        </w:rPr>
        <w:t xml:space="preserve">Psychology </w:t>
      </w:r>
      <w:r w:rsidRPr="00083B8A">
        <w:rPr>
          <w:rFonts w:cs="Arial Hebrew Scholar"/>
        </w:rPr>
        <w:t xml:space="preserve">department will administer the DSO </w:t>
      </w:r>
      <w:r>
        <w:rPr>
          <w:rFonts w:cs="Arial Hebrew Scholar"/>
        </w:rPr>
        <w:t xml:space="preserve">and the ADSO </w:t>
      </w:r>
      <w:r w:rsidRPr="00083B8A">
        <w:rPr>
          <w:rFonts w:cs="Arial Hebrew Scholar"/>
        </w:rPr>
        <w:t>for its own students.</w:t>
      </w:r>
    </w:p>
    <w:p w14:paraId="6D0F4811" w14:textId="77777777" w:rsidR="00083B8A" w:rsidRDefault="00083B8A" w:rsidP="00083B8A">
      <w:pPr>
        <w:pStyle w:val="Normal1"/>
        <w:spacing w:line="240" w:lineRule="auto"/>
        <w:ind w:right="340"/>
        <w:rPr>
          <w:rFonts w:cs="Arial Hebrew Scholar"/>
        </w:rPr>
      </w:pPr>
    </w:p>
    <w:p w14:paraId="2431396B" w14:textId="77777777" w:rsidR="00083B8A" w:rsidRPr="00083B8A" w:rsidRDefault="00083B8A" w:rsidP="00083B8A">
      <w:pPr>
        <w:pStyle w:val="Heading2"/>
      </w:pPr>
      <w:r w:rsidRPr="00083B8A">
        <w:t>Related Programs</w:t>
      </w:r>
    </w:p>
    <w:p w14:paraId="0F747F49" w14:textId="77777777" w:rsidR="00083B8A" w:rsidRDefault="00083B8A" w:rsidP="00083B8A">
      <w:pPr>
        <w:pStyle w:val="Normal1"/>
        <w:spacing w:line="240" w:lineRule="auto"/>
        <w:ind w:right="340"/>
        <w:rPr>
          <w:rFonts w:cs="Arial Hebrew Scholar"/>
        </w:rPr>
      </w:pPr>
      <w:r w:rsidRPr="00083B8A">
        <w:rPr>
          <w:rFonts w:cs="Arial Hebrew Scholar"/>
        </w:rPr>
        <w:t>See description under overall framework above.</w:t>
      </w:r>
    </w:p>
    <w:p w14:paraId="7E4CB546" w14:textId="77777777" w:rsidR="00083B8A" w:rsidRPr="00083B8A" w:rsidRDefault="00083B8A" w:rsidP="00083B8A">
      <w:pPr>
        <w:pStyle w:val="Normal1"/>
        <w:spacing w:line="240" w:lineRule="auto"/>
        <w:ind w:right="340"/>
        <w:rPr>
          <w:rFonts w:cs="Arial Hebrew Scholar"/>
        </w:rPr>
      </w:pPr>
    </w:p>
    <w:p w14:paraId="0343DCF4" w14:textId="77777777" w:rsidR="00083B8A" w:rsidRPr="00083B8A" w:rsidRDefault="00083B8A" w:rsidP="00083B8A">
      <w:pPr>
        <w:pStyle w:val="Heading2"/>
      </w:pPr>
      <w:r w:rsidRPr="00083B8A">
        <w:t>Timeline for Implementation</w:t>
      </w:r>
    </w:p>
    <w:p w14:paraId="5D80306A" w14:textId="5A3CA091" w:rsidR="00083B8A" w:rsidRPr="00083B8A" w:rsidRDefault="009146FF" w:rsidP="007F137A">
      <w:pPr>
        <w:pStyle w:val="Normal1"/>
        <w:spacing w:line="240" w:lineRule="auto"/>
        <w:ind w:right="340"/>
        <w:rPr>
          <w:rFonts w:cs="Arial Hebrew Scholar"/>
        </w:rPr>
      </w:pPr>
      <w:r>
        <w:rPr>
          <w:rFonts w:cs="Arial Hebrew Scholar"/>
        </w:rPr>
        <w:t>Our faculty voted to approve the Data Science Option beginning in Fall 2018</w:t>
      </w:r>
      <w:r w:rsidR="00083B8A" w:rsidRPr="00083B8A">
        <w:rPr>
          <w:rFonts w:cs="Arial Hebrew Scholar"/>
        </w:rPr>
        <w:t xml:space="preserve">. </w:t>
      </w:r>
    </w:p>
    <w:p w14:paraId="19CE400F" w14:textId="77777777" w:rsidR="00083B8A" w:rsidRPr="00083B8A" w:rsidRDefault="00083B8A" w:rsidP="007A38B6">
      <w:pPr>
        <w:pStyle w:val="Heading2"/>
      </w:pPr>
      <w:r w:rsidRPr="00083B8A">
        <w:t>Relationship to Institutional Role, Mission, and Academic Unit Priorities:</w:t>
      </w:r>
    </w:p>
    <w:p w14:paraId="35E6793F" w14:textId="77777777" w:rsidR="007A38B6" w:rsidRDefault="00083B8A" w:rsidP="00083B8A">
      <w:pPr>
        <w:pStyle w:val="Normal1"/>
        <w:spacing w:line="240" w:lineRule="auto"/>
        <w:ind w:right="340"/>
        <w:rPr>
          <w:rFonts w:cs="Arial Hebrew Scholar"/>
        </w:rPr>
      </w:pPr>
      <w:r w:rsidRPr="00083B8A">
        <w:rPr>
          <w:rFonts w:cs="Arial Hebrew Scholar"/>
        </w:rPr>
        <w:t xml:space="preserve">Many departments have already approved the “Advanced Data Science Option” </w:t>
      </w:r>
      <w:r w:rsidR="007A38B6">
        <w:rPr>
          <w:rFonts w:cs="Arial Hebrew Scholar"/>
        </w:rPr>
        <w:t>and the “Data Science Option”.</w:t>
      </w:r>
    </w:p>
    <w:p w14:paraId="7D68A3B4" w14:textId="77777777" w:rsidR="007A38B6" w:rsidRDefault="007A38B6" w:rsidP="00083B8A">
      <w:pPr>
        <w:pStyle w:val="Normal1"/>
        <w:spacing w:line="240" w:lineRule="auto"/>
        <w:ind w:right="340"/>
        <w:rPr>
          <w:rFonts w:cs="Arial Hebrew Scholar"/>
        </w:rPr>
      </w:pPr>
    </w:p>
    <w:p w14:paraId="79A6959F" w14:textId="77777777" w:rsidR="007A38B6" w:rsidRDefault="007A38B6" w:rsidP="007A38B6">
      <w:pPr>
        <w:pStyle w:val="Normal1"/>
        <w:spacing w:line="240" w:lineRule="auto"/>
        <w:ind w:right="340"/>
        <w:rPr>
          <w:rFonts w:cs="Arial Hebrew Scholar"/>
        </w:rPr>
      </w:pPr>
      <w:r>
        <w:rPr>
          <w:rFonts w:cs="Arial Hebrew Scholar"/>
        </w:rPr>
        <w:t xml:space="preserve">These two </w:t>
      </w:r>
      <w:r w:rsidR="00083B8A" w:rsidRPr="00083B8A">
        <w:rPr>
          <w:rFonts w:cs="Arial Hebrew Scholar"/>
        </w:rPr>
        <w:t>option</w:t>
      </w:r>
      <w:r>
        <w:rPr>
          <w:rFonts w:cs="Arial Hebrew Scholar"/>
        </w:rPr>
        <w:t>s</w:t>
      </w:r>
      <w:r w:rsidR="00083B8A" w:rsidRPr="00083B8A">
        <w:rPr>
          <w:rFonts w:cs="Arial Hebrew Scholar"/>
        </w:rPr>
        <w:t xml:space="preserve"> will give graduate students a choice</w:t>
      </w:r>
      <w:r>
        <w:rPr>
          <w:rFonts w:cs="Arial Hebrew Scholar"/>
        </w:rPr>
        <w:t xml:space="preserve"> of how deeply they wish to be trained</w:t>
      </w:r>
      <w:r w:rsidR="00083B8A" w:rsidRPr="00083B8A">
        <w:rPr>
          <w:rFonts w:cs="Arial Hebrew Scholar"/>
        </w:rPr>
        <w:t xml:space="preserve"> in the data science field. </w:t>
      </w:r>
    </w:p>
    <w:p w14:paraId="164F407B" w14:textId="77777777" w:rsidR="007A38B6" w:rsidRDefault="007A38B6" w:rsidP="007A38B6">
      <w:pPr>
        <w:pStyle w:val="Normal1"/>
        <w:spacing w:line="240" w:lineRule="auto"/>
        <w:ind w:right="340"/>
        <w:rPr>
          <w:rFonts w:cs="Arial Hebrew Scholar"/>
        </w:rPr>
      </w:pPr>
    </w:p>
    <w:p w14:paraId="187C38FF" w14:textId="486E0F30" w:rsidR="00083B8A" w:rsidRDefault="00083B8A" w:rsidP="007A38B6">
      <w:pPr>
        <w:pStyle w:val="Normal1"/>
        <w:spacing w:line="240" w:lineRule="auto"/>
        <w:ind w:right="340"/>
        <w:rPr>
          <w:rFonts w:cs="Arial Hebrew Scholar"/>
        </w:rPr>
      </w:pPr>
      <w:r w:rsidRPr="00083B8A">
        <w:rPr>
          <w:rFonts w:cs="Arial Hebrew Scholar"/>
        </w:rPr>
        <w:t>The courses that for</w:t>
      </w:r>
      <w:r w:rsidR="007A38B6">
        <w:rPr>
          <w:rFonts w:cs="Arial Hebrew Scholar"/>
        </w:rPr>
        <w:t xml:space="preserve">m the curriculum underlying both options are all existing courses. The Psychology </w:t>
      </w:r>
      <w:r w:rsidRPr="00083B8A">
        <w:rPr>
          <w:rFonts w:cs="Arial Hebrew Scholar"/>
        </w:rPr>
        <w:t xml:space="preserve">graduate program advisor and coordinator (GPC/GPA) will carry out student tracking </w:t>
      </w:r>
      <w:r w:rsidR="008D757B">
        <w:rPr>
          <w:rFonts w:cs="Arial Hebrew Scholar"/>
        </w:rPr>
        <w:t xml:space="preserve">and determine whether classes are eligible to meet </w:t>
      </w:r>
      <w:r w:rsidR="008D757B" w:rsidRPr="008D757B">
        <w:rPr>
          <w:rFonts w:cs="Arial Hebrew Scholar"/>
        </w:rPr>
        <w:t>requirements. T</w:t>
      </w:r>
      <w:r w:rsidRPr="008D757B">
        <w:rPr>
          <w:rFonts w:cs="Arial Hebrew Scholar"/>
        </w:rPr>
        <w:t xml:space="preserve">he </w:t>
      </w:r>
      <w:r w:rsidR="007A38B6" w:rsidRPr="008D757B">
        <w:rPr>
          <w:rFonts w:cs="Arial Hebrew Scholar"/>
        </w:rPr>
        <w:t xml:space="preserve">Psychology member of the </w:t>
      </w:r>
      <w:r w:rsidR="008D757B" w:rsidRPr="008D757B">
        <w:rPr>
          <w:rFonts w:cs="Arial Hebrew Scholar"/>
        </w:rPr>
        <w:t xml:space="preserve">eScience education committee member </w:t>
      </w:r>
      <w:r w:rsidRPr="008D757B">
        <w:rPr>
          <w:rFonts w:cs="Arial Hebrew Scholar"/>
        </w:rPr>
        <w:t xml:space="preserve">will </w:t>
      </w:r>
      <w:r w:rsidR="007A38B6" w:rsidRPr="008D757B">
        <w:rPr>
          <w:rFonts w:cs="Arial Hebrew Scholar"/>
        </w:rPr>
        <w:t>act as an advisor to GPC/GPA.</w:t>
      </w:r>
    </w:p>
    <w:p w14:paraId="4F38EA4B" w14:textId="77777777" w:rsidR="007A38B6" w:rsidRPr="00083B8A" w:rsidRDefault="007A38B6" w:rsidP="007A38B6">
      <w:pPr>
        <w:pStyle w:val="Normal1"/>
        <w:spacing w:line="240" w:lineRule="auto"/>
        <w:ind w:right="340"/>
        <w:rPr>
          <w:rFonts w:cs="Arial Hebrew Scholar"/>
        </w:rPr>
      </w:pPr>
    </w:p>
    <w:p w14:paraId="70A3554B" w14:textId="77777777" w:rsidR="00083B8A" w:rsidRPr="00083B8A" w:rsidRDefault="00083B8A" w:rsidP="007A38B6">
      <w:pPr>
        <w:pStyle w:val="Heading2"/>
      </w:pPr>
      <w:r w:rsidRPr="00083B8A">
        <w:t>Documentation of Need for Program</w:t>
      </w:r>
    </w:p>
    <w:p w14:paraId="51869D48" w14:textId="1EB6E9D5" w:rsidR="002D774A" w:rsidRPr="00083B8A" w:rsidRDefault="00083B8A" w:rsidP="002D774A">
      <w:pPr>
        <w:pStyle w:val="Normal1"/>
        <w:spacing w:line="240" w:lineRule="auto"/>
        <w:ind w:right="340"/>
        <w:rPr>
          <w:rFonts w:cs="Arial Hebrew Scholar"/>
        </w:rPr>
      </w:pPr>
      <w:r w:rsidRPr="00083B8A">
        <w:rPr>
          <w:rFonts w:cs="Arial Hebrew Scholar"/>
        </w:rPr>
        <w:t>A graduate “option” is the only transcriptable method to offer a credentialed recognition of our students’ efforts and to serve a recruiting tool for the units involved. We</w:t>
      </w:r>
      <w:r w:rsidR="007A38B6">
        <w:rPr>
          <w:rFonts w:cs="Arial Hebrew Scholar"/>
        </w:rPr>
        <w:t xml:space="preserve"> already have around 12 </w:t>
      </w:r>
      <w:r w:rsidR="00B471D8">
        <w:rPr>
          <w:rFonts w:cs="Arial Hebrew Scholar"/>
        </w:rPr>
        <w:t xml:space="preserve">enrolled graduate </w:t>
      </w:r>
      <w:r w:rsidR="007A38B6">
        <w:rPr>
          <w:rFonts w:cs="Arial Hebrew Scholar"/>
        </w:rPr>
        <w:t xml:space="preserve">students who have expressed a strong interest in taking the data science option – so we expect </w:t>
      </w:r>
      <w:r w:rsidR="00B471D8">
        <w:rPr>
          <w:rFonts w:cs="Arial Hebrew Scholar"/>
        </w:rPr>
        <w:t xml:space="preserve">roughly </w:t>
      </w:r>
      <w:r w:rsidR="009146FF">
        <w:rPr>
          <w:rFonts w:cs="Arial Hebrew Scholar"/>
        </w:rPr>
        <w:t>10-15%</w:t>
      </w:r>
      <w:r w:rsidR="007A38B6">
        <w:rPr>
          <w:rFonts w:cs="Arial Hebrew Scholar"/>
        </w:rPr>
        <w:t xml:space="preserve"> of our graduate student cohort to </w:t>
      </w:r>
      <w:r w:rsidR="002D774A">
        <w:rPr>
          <w:rFonts w:cs="Arial Hebrew Scholar"/>
        </w:rPr>
        <w:t>cho</w:t>
      </w:r>
      <w:r w:rsidR="00B471D8">
        <w:rPr>
          <w:rFonts w:cs="Arial Hebrew Scholar"/>
        </w:rPr>
        <w:t>ose to participate in the DSO</w:t>
      </w:r>
      <w:r w:rsidR="002D774A">
        <w:rPr>
          <w:rFonts w:cs="Arial Hebrew Scholar"/>
        </w:rPr>
        <w:t>.</w:t>
      </w:r>
    </w:p>
    <w:p w14:paraId="42C210CA" w14:textId="77777777" w:rsidR="00083B8A" w:rsidRPr="008D757B" w:rsidRDefault="00083B8A" w:rsidP="0043487B">
      <w:pPr>
        <w:pStyle w:val="Heading2"/>
      </w:pPr>
      <w:r w:rsidRPr="00083B8A">
        <w:t>Program Overs</w:t>
      </w:r>
      <w:r w:rsidRPr="008D757B">
        <w:t>ight</w:t>
      </w:r>
    </w:p>
    <w:p w14:paraId="2A0AEABA" w14:textId="6D7879BF" w:rsidR="00083B8A" w:rsidRDefault="00083B8A" w:rsidP="0043487B">
      <w:pPr>
        <w:pStyle w:val="Normal1"/>
        <w:spacing w:line="240" w:lineRule="auto"/>
        <w:ind w:right="340"/>
        <w:rPr>
          <w:rFonts w:cs="Arial Hebrew Scholar"/>
        </w:rPr>
      </w:pPr>
      <w:r w:rsidRPr="008D757B">
        <w:rPr>
          <w:rFonts w:cs="Arial Hebrew Scholar"/>
        </w:rPr>
        <w:t xml:space="preserve">The </w:t>
      </w:r>
      <w:r w:rsidR="0043487B" w:rsidRPr="008D757B">
        <w:rPr>
          <w:rFonts w:cs="Arial Hebrew Scholar"/>
        </w:rPr>
        <w:t>Psychology</w:t>
      </w:r>
      <w:r w:rsidRPr="008D757B">
        <w:rPr>
          <w:rFonts w:cs="Arial Hebrew Scholar"/>
        </w:rPr>
        <w:t xml:space="preserve"> graduate program director (GPC)</w:t>
      </w:r>
      <w:r w:rsidR="008D757B">
        <w:rPr>
          <w:rFonts w:cs="Arial Hebrew Scholar"/>
        </w:rPr>
        <w:t xml:space="preserve"> and</w:t>
      </w:r>
      <w:r w:rsidRPr="008D757B">
        <w:rPr>
          <w:rFonts w:cs="Arial Hebrew Scholar"/>
        </w:rPr>
        <w:t xml:space="preserve"> the eScience Education Working Group </w:t>
      </w:r>
      <w:r w:rsidR="0043487B" w:rsidRPr="008D757B">
        <w:rPr>
          <w:rFonts w:cs="Arial Hebrew Scholar"/>
        </w:rPr>
        <w:t xml:space="preserve">chair </w:t>
      </w:r>
      <w:r w:rsidRPr="008D757B">
        <w:rPr>
          <w:rFonts w:cs="Arial Hebrew Scholar"/>
        </w:rPr>
        <w:t>(</w:t>
      </w:r>
      <w:r w:rsidR="0043487B" w:rsidRPr="008D757B">
        <w:rPr>
          <w:rFonts w:cs="Arial Hebrew Scholar"/>
        </w:rPr>
        <w:t>currently Bing Brunton)</w:t>
      </w:r>
      <w:r w:rsidR="008D757B">
        <w:rPr>
          <w:rFonts w:cs="Arial Hebrew Scholar"/>
        </w:rPr>
        <w:t xml:space="preserve"> will provide formal oversight to the program. T</w:t>
      </w:r>
      <w:r w:rsidR="0043487B" w:rsidRPr="008D757B">
        <w:rPr>
          <w:rFonts w:cs="Arial Hebrew Scholar"/>
        </w:rPr>
        <w:t>he Psychology department eScience education committee</w:t>
      </w:r>
      <w:r w:rsidRPr="008D757B">
        <w:rPr>
          <w:rFonts w:cs="Arial Hebrew Scholar"/>
        </w:rPr>
        <w:t xml:space="preserve"> </w:t>
      </w:r>
      <w:r w:rsidR="0043487B" w:rsidRPr="008D757B">
        <w:rPr>
          <w:rFonts w:cs="Arial Hebrew Scholar"/>
        </w:rPr>
        <w:t>member</w:t>
      </w:r>
      <w:r w:rsidRPr="008D757B">
        <w:rPr>
          <w:rFonts w:cs="Arial Hebrew Scholar"/>
        </w:rPr>
        <w:t xml:space="preserve"> (</w:t>
      </w:r>
      <w:r w:rsidR="0043487B" w:rsidRPr="008D757B">
        <w:rPr>
          <w:rFonts w:cs="Arial Hebrew Scholar"/>
        </w:rPr>
        <w:t>currently Ione Fine</w:t>
      </w:r>
      <w:r w:rsidRPr="008D757B">
        <w:rPr>
          <w:rFonts w:cs="Arial Hebrew Scholar"/>
        </w:rPr>
        <w:t xml:space="preserve">) will </w:t>
      </w:r>
      <w:r w:rsidR="008D757B">
        <w:rPr>
          <w:rFonts w:cs="Arial Hebrew Scholar"/>
        </w:rPr>
        <w:t>play an advisory role.</w:t>
      </w:r>
    </w:p>
    <w:p w14:paraId="2872DF02" w14:textId="77777777" w:rsidR="0043487B" w:rsidRPr="00083B8A" w:rsidRDefault="0043487B" w:rsidP="0043487B">
      <w:pPr>
        <w:pStyle w:val="Normal1"/>
        <w:spacing w:line="240" w:lineRule="auto"/>
        <w:ind w:right="340"/>
        <w:rPr>
          <w:rFonts w:cs="Arial Hebrew Scholar"/>
        </w:rPr>
      </w:pPr>
      <w:bookmarkStart w:id="3" w:name="_GoBack"/>
      <w:bookmarkEnd w:id="3"/>
    </w:p>
    <w:p w14:paraId="7FDBB723" w14:textId="40CB531E" w:rsidR="00083B8A" w:rsidRPr="00083B8A" w:rsidRDefault="00083B8A" w:rsidP="0043487B">
      <w:pPr>
        <w:pStyle w:val="Normal1"/>
        <w:spacing w:line="240" w:lineRule="auto"/>
        <w:ind w:right="340"/>
        <w:rPr>
          <w:rFonts w:cs="Arial Hebrew Scholar"/>
        </w:rPr>
      </w:pPr>
      <w:r w:rsidRPr="00083B8A">
        <w:rPr>
          <w:rFonts w:cs="Arial Hebrew Scholar"/>
        </w:rPr>
        <w:t xml:space="preserve">To apply for the </w:t>
      </w:r>
      <w:r w:rsidR="0043487B">
        <w:rPr>
          <w:rFonts w:cs="Arial Hebrew Scholar"/>
        </w:rPr>
        <w:t>Psychology</w:t>
      </w:r>
      <w:r w:rsidRPr="00083B8A">
        <w:rPr>
          <w:rFonts w:cs="Arial Hebrew Scholar"/>
        </w:rPr>
        <w:t xml:space="preserve"> Data Science option, a student must be a full-time graduate student in </w:t>
      </w:r>
      <w:r w:rsidR="0043487B">
        <w:rPr>
          <w:rFonts w:cs="Arial Hebrew Scholar"/>
        </w:rPr>
        <w:t>Psychology</w:t>
      </w:r>
      <w:r w:rsidRPr="00083B8A">
        <w:rPr>
          <w:rFonts w:cs="Arial Hebrew Scholar"/>
        </w:rPr>
        <w:t xml:space="preserve">. The student must send an email to the graduate advisor in their department and declare interest in pursuing the Data Science track. The research advisor of the graduate student must approve the application. </w:t>
      </w:r>
    </w:p>
    <w:p w14:paraId="2B0DA431" w14:textId="77777777" w:rsidR="00083B8A" w:rsidRPr="00083B8A" w:rsidRDefault="00083B8A" w:rsidP="0043487B">
      <w:pPr>
        <w:pStyle w:val="Heading2"/>
      </w:pPr>
      <w:r w:rsidRPr="00083B8A">
        <w:t>Administration</w:t>
      </w:r>
    </w:p>
    <w:p w14:paraId="4560A39F" w14:textId="77777777" w:rsidR="00083B8A" w:rsidRPr="00083B8A" w:rsidRDefault="00083B8A" w:rsidP="00083B8A">
      <w:pPr>
        <w:pStyle w:val="Normal1"/>
        <w:spacing w:line="240" w:lineRule="auto"/>
        <w:ind w:right="340"/>
        <w:rPr>
          <w:rFonts w:cs="Arial Hebrew Scholar"/>
        </w:rPr>
      </w:pPr>
      <w:r w:rsidRPr="00083B8A">
        <w:rPr>
          <w:rFonts w:cs="Arial Hebrew Scholar"/>
        </w:rPr>
        <w:t>Because the oversight required for students to participate in the option is minimal, we will not require any administrative resources nor other support services beyond the existing graduate advising staff in the participating departments.</w:t>
      </w:r>
    </w:p>
    <w:p w14:paraId="2771F0F7" w14:textId="77777777" w:rsidR="00083B8A" w:rsidRPr="00083B8A" w:rsidRDefault="00083B8A" w:rsidP="0043487B">
      <w:pPr>
        <w:pStyle w:val="Heading2"/>
      </w:pPr>
      <w:r w:rsidRPr="00083B8A">
        <w:t>Students</w:t>
      </w:r>
    </w:p>
    <w:p w14:paraId="4626B2B9" w14:textId="28507E54" w:rsidR="0043487B" w:rsidRDefault="00083B8A" w:rsidP="00B471D8">
      <w:pPr>
        <w:pStyle w:val="Normal1"/>
        <w:spacing w:line="240" w:lineRule="auto"/>
        <w:ind w:right="340"/>
        <w:rPr>
          <w:rFonts w:cs="Arial Hebrew Scholar"/>
        </w:rPr>
      </w:pPr>
      <w:r w:rsidRPr="00083B8A">
        <w:rPr>
          <w:rFonts w:cs="Arial Hebrew Scholar"/>
        </w:rPr>
        <w:t xml:space="preserve">Eligible students for the DSO include all full time students in the </w:t>
      </w:r>
      <w:r w:rsidR="0043487B">
        <w:rPr>
          <w:rFonts w:cs="Arial Hebrew Scholar"/>
        </w:rPr>
        <w:t>Psychology</w:t>
      </w:r>
      <w:r w:rsidR="009146FF">
        <w:rPr>
          <w:rFonts w:cs="Arial Hebrew Scholar"/>
        </w:rPr>
        <w:t xml:space="preserve"> graduate program (</w:t>
      </w:r>
      <w:r w:rsidRPr="00083B8A">
        <w:rPr>
          <w:rFonts w:cs="Arial Hebrew Scholar"/>
        </w:rPr>
        <w:t>PhD) in good standing</w:t>
      </w:r>
      <w:r w:rsidR="0043487B">
        <w:rPr>
          <w:rFonts w:cs="Arial Hebrew Scholar"/>
        </w:rPr>
        <w:t xml:space="preserve"> who have completed the first year statistics requirements</w:t>
      </w:r>
      <w:r w:rsidRPr="00083B8A">
        <w:rPr>
          <w:rFonts w:cs="Arial Hebrew Scholar"/>
        </w:rPr>
        <w:t xml:space="preserve">. There are no other requirements to apply. </w:t>
      </w:r>
    </w:p>
    <w:p w14:paraId="753866B2" w14:textId="77777777" w:rsidR="0043487B" w:rsidRDefault="0043487B" w:rsidP="0043487B">
      <w:pPr>
        <w:pStyle w:val="Normal1"/>
        <w:spacing w:line="240" w:lineRule="auto"/>
        <w:ind w:right="340"/>
        <w:rPr>
          <w:rFonts w:cs="Arial Hebrew Scholar"/>
        </w:rPr>
      </w:pPr>
    </w:p>
    <w:p w14:paraId="59360447" w14:textId="19986E4A" w:rsidR="00083B8A" w:rsidRPr="00083B8A" w:rsidRDefault="00083B8A" w:rsidP="0043487B">
      <w:pPr>
        <w:pStyle w:val="Normal1"/>
        <w:spacing w:line="240" w:lineRule="auto"/>
        <w:ind w:right="340"/>
        <w:rPr>
          <w:rFonts w:cs="Arial Hebrew Scholar"/>
        </w:rPr>
      </w:pPr>
      <w:r w:rsidRPr="00083B8A">
        <w:rPr>
          <w:rFonts w:cs="Arial Hebrew Scholar"/>
        </w:rPr>
        <w:t xml:space="preserve">In cases where a graduate student does not </w:t>
      </w:r>
      <w:r w:rsidR="009146FF">
        <w:rPr>
          <w:rFonts w:cs="Arial Hebrew Scholar"/>
        </w:rPr>
        <w:t>graduate</w:t>
      </w:r>
      <w:r w:rsidRPr="00083B8A">
        <w:rPr>
          <w:rFonts w:cs="Arial Hebrew Scholar"/>
        </w:rPr>
        <w:t xml:space="preserve"> but instead leaves only after completing the master’s part of the graduate program, the student will retain the “Data Science option” recognition on their transcript if the student finishes all the requirements of the option before leaving the graduate program. This point is important because the DSO opens the door to a larger number of employment opportunities in industry. We will advertise the availability of the option by posting infor</w:t>
      </w:r>
      <w:r w:rsidR="0043487B">
        <w:rPr>
          <w:rFonts w:cs="Arial Hebrew Scholar"/>
        </w:rPr>
        <w:t>mation about the option on the department website</w:t>
      </w:r>
      <w:r w:rsidRPr="00083B8A">
        <w:rPr>
          <w:rFonts w:cs="Arial Hebrew Scholar"/>
        </w:rPr>
        <w:t>.</w:t>
      </w:r>
    </w:p>
    <w:p w14:paraId="084EFBC0" w14:textId="77777777" w:rsidR="00083B8A" w:rsidRPr="00083B8A" w:rsidRDefault="00083B8A" w:rsidP="0043487B">
      <w:pPr>
        <w:pStyle w:val="Heading2"/>
      </w:pPr>
      <w:r w:rsidRPr="00083B8A">
        <w:t>Diversity</w:t>
      </w:r>
    </w:p>
    <w:p w14:paraId="591CB410" w14:textId="3884BB92" w:rsidR="00083B8A" w:rsidRPr="00083B8A" w:rsidRDefault="00083B8A" w:rsidP="0043487B">
      <w:pPr>
        <w:pStyle w:val="Normal1"/>
        <w:spacing w:line="240" w:lineRule="auto"/>
        <w:ind w:right="340"/>
        <w:rPr>
          <w:rFonts w:cs="Arial Hebrew Scholar"/>
        </w:rPr>
      </w:pPr>
      <w:r w:rsidRPr="00083B8A">
        <w:rPr>
          <w:rFonts w:cs="Arial Hebrew Scholar"/>
        </w:rPr>
        <w:t>Only students from participating departments will be able to register for the Data Science option. As a result, the option will directly leverage the departments’ efforts to increase diversity.</w:t>
      </w:r>
      <w:r w:rsidR="0043487B">
        <w:rPr>
          <w:rFonts w:cs="Arial Hebrew Scholar"/>
        </w:rPr>
        <w:t xml:space="preserve"> Psychology has historically been very successful in its ability to recruit URM students into STEM.</w:t>
      </w:r>
    </w:p>
    <w:p w14:paraId="3D34B64F" w14:textId="77777777" w:rsidR="00083B8A" w:rsidRPr="00083B8A" w:rsidRDefault="00083B8A" w:rsidP="0043487B">
      <w:pPr>
        <w:pStyle w:val="Heading2"/>
      </w:pPr>
      <w:r w:rsidRPr="00083B8A">
        <w:t>Program Assessment</w:t>
      </w:r>
    </w:p>
    <w:p w14:paraId="2A42CF24" w14:textId="2D418F2B" w:rsidR="00083B8A" w:rsidRPr="00083B8A" w:rsidRDefault="00083B8A" w:rsidP="00B471D8">
      <w:pPr>
        <w:pStyle w:val="Normal1"/>
        <w:spacing w:line="240" w:lineRule="auto"/>
        <w:ind w:right="340"/>
        <w:rPr>
          <w:rFonts w:cs="Arial Hebrew Scholar"/>
        </w:rPr>
      </w:pPr>
      <w:r w:rsidRPr="00083B8A">
        <w:rPr>
          <w:rFonts w:cs="Arial Hebrew Scholar"/>
        </w:rPr>
        <w:t xml:space="preserve">The department will collect feedback from the students and their advisors at least once per year to get their input on the program. </w:t>
      </w:r>
      <w:r w:rsidR="0043487B">
        <w:rPr>
          <w:rFonts w:cs="Arial Hebrew Scholar"/>
        </w:rPr>
        <w:t>This will be done through an online survey and in-person interviews. Once students start gr</w:t>
      </w:r>
      <w:r w:rsidR="00B471D8">
        <w:rPr>
          <w:rFonts w:cs="Arial Hebrew Scholar"/>
        </w:rPr>
        <w:t xml:space="preserve">aduating from the DSO </w:t>
      </w:r>
      <w:r w:rsidR="0043487B">
        <w:rPr>
          <w:rFonts w:cs="Arial Hebrew Scholar"/>
        </w:rPr>
        <w:t xml:space="preserve">program we will also collect data from students who have recently left the program. </w:t>
      </w:r>
    </w:p>
    <w:p w14:paraId="601154C5" w14:textId="77777777" w:rsidR="00083B8A" w:rsidRPr="00083B8A" w:rsidRDefault="00083B8A" w:rsidP="00083B8A">
      <w:pPr>
        <w:pStyle w:val="Normal1"/>
        <w:spacing w:line="240" w:lineRule="auto"/>
        <w:ind w:right="340"/>
        <w:rPr>
          <w:rFonts w:cs="Arial Hebrew Scholar"/>
        </w:rPr>
      </w:pPr>
    </w:p>
    <w:p w14:paraId="13EDE85B" w14:textId="450FED1F" w:rsidR="00083B8A" w:rsidRPr="00083B8A" w:rsidRDefault="00083B8A" w:rsidP="0043487B">
      <w:pPr>
        <w:pStyle w:val="Normal1"/>
        <w:spacing w:line="240" w:lineRule="auto"/>
        <w:ind w:right="340"/>
        <w:rPr>
          <w:rFonts w:cs="Arial Hebrew Scholar"/>
        </w:rPr>
      </w:pPr>
      <w:r w:rsidRPr="00083B8A">
        <w:rPr>
          <w:rFonts w:cs="Arial Hebrew Scholar"/>
        </w:rPr>
        <w:t xml:space="preserve">The </w:t>
      </w:r>
      <w:r w:rsidR="0043487B">
        <w:rPr>
          <w:rFonts w:cs="Arial Hebrew Scholar"/>
        </w:rPr>
        <w:t xml:space="preserve">Psychology </w:t>
      </w:r>
      <w:r w:rsidR="00F85050">
        <w:rPr>
          <w:rFonts w:cs="Arial Hebrew Scholar"/>
        </w:rPr>
        <w:t>ASDO/</w:t>
      </w:r>
      <w:r w:rsidR="0043487B">
        <w:rPr>
          <w:rFonts w:cs="Arial Hebrew Scholar"/>
        </w:rPr>
        <w:t>DSO</w:t>
      </w:r>
      <w:r w:rsidRPr="00083B8A">
        <w:rPr>
          <w:rFonts w:cs="Arial Hebrew Scholar"/>
        </w:rPr>
        <w:t xml:space="preserve"> steering committee may also recommend changes to the program based on the feedback from the students and faculty from </w:t>
      </w:r>
      <w:r w:rsidR="0043487B">
        <w:rPr>
          <w:rFonts w:cs="Arial Hebrew Scholar"/>
        </w:rPr>
        <w:t>Psychology and</w:t>
      </w:r>
      <w:r w:rsidRPr="00083B8A">
        <w:rPr>
          <w:rFonts w:cs="Arial Hebrew Scholar"/>
        </w:rPr>
        <w:t xml:space="preserve"> other departments.</w:t>
      </w:r>
    </w:p>
    <w:p w14:paraId="08CE5A8B" w14:textId="77777777" w:rsidR="00C219BD" w:rsidRPr="00542FD7" w:rsidRDefault="00C219BD" w:rsidP="00B23D1C">
      <w:pPr>
        <w:pStyle w:val="Normal1"/>
        <w:spacing w:line="240" w:lineRule="auto"/>
        <w:ind w:right="340"/>
        <w:rPr>
          <w:rFonts w:cs="Arial Hebrew Scholar"/>
        </w:rPr>
      </w:pPr>
    </w:p>
    <w:sectPr w:rsidR="00C219BD" w:rsidRPr="00542F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Hebrew Scholar">
    <w:altName w:val="Times New Roman"/>
    <w:charset w:val="B1"/>
    <w:family w:val="auto"/>
    <w:pitch w:val="variable"/>
    <w:sig w:usb0="00000000" w:usb1="40002002"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1F5"/>
    <w:multiLevelType w:val="multilevel"/>
    <w:tmpl w:val="8976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3395B"/>
    <w:multiLevelType w:val="multilevel"/>
    <w:tmpl w:val="0CDA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33742"/>
    <w:multiLevelType w:val="multilevel"/>
    <w:tmpl w:val="5888F4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14234F"/>
    <w:multiLevelType w:val="multilevel"/>
    <w:tmpl w:val="72E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E5C23"/>
    <w:multiLevelType w:val="multilevel"/>
    <w:tmpl w:val="FC12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B1F01"/>
    <w:multiLevelType w:val="multilevel"/>
    <w:tmpl w:val="284064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16A4DCB"/>
    <w:multiLevelType w:val="multilevel"/>
    <w:tmpl w:val="5E48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C65E2"/>
    <w:multiLevelType w:val="multilevel"/>
    <w:tmpl w:val="CC7E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82E81"/>
    <w:multiLevelType w:val="multilevel"/>
    <w:tmpl w:val="80EA1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B914EF3"/>
    <w:multiLevelType w:val="hybridMultilevel"/>
    <w:tmpl w:val="25684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12064"/>
    <w:multiLevelType w:val="multilevel"/>
    <w:tmpl w:val="8ABE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743BE"/>
    <w:multiLevelType w:val="hybridMultilevel"/>
    <w:tmpl w:val="83386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174E"/>
    <w:multiLevelType w:val="hybridMultilevel"/>
    <w:tmpl w:val="772A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10CD4"/>
    <w:multiLevelType w:val="hybridMultilevel"/>
    <w:tmpl w:val="B0785FB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C65EB"/>
    <w:multiLevelType w:val="hybridMultilevel"/>
    <w:tmpl w:val="4FE0DE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334647A2"/>
    <w:multiLevelType w:val="multilevel"/>
    <w:tmpl w:val="AC002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35C11F6"/>
    <w:multiLevelType w:val="hybridMultilevel"/>
    <w:tmpl w:val="189693C8"/>
    <w:lvl w:ilvl="0" w:tplc="155CD4A4">
      <w:start w:val="1"/>
      <w:numFmt w:val="upperRoman"/>
      <w:lvlText w:val="%1."/>
      <w:lvlJc w:val="left"/>
      <w:pPr>
        <w:ind w:left="1080" w:hanging="72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067D7"/>
    <w:multiLevelType w:val="hybridMultilevel"/>
    <w:tmpl w:val="5AEA5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60757"/>
    <w:multiLevelType w:val="hybridMultilevel"/>
    <w:tmpl w:val="7E1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60141"/>
    <w:multiLevelType w:val="multilevel"/>
    <w:tmpl w:val="8120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83D64"/>
    <w:multiLevelType w:val="hybridMultilevel"/>
    <w:tmpl w:val="710689E2"/>
    <w:lvl w:ilvl="0" w:tplc="5D10991C">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86607"/>
    <w:multiLevelType w:val="multilevel"/>
    <w:tmpl w:val="BC08F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90D49"/>
    <w:multiLevelType w:val="multilevel"/>
    <w:tmpl w:val="9334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30F25"/>
    <w:multiLevelType w:val="hybridMultilevel"/>
    <w:tmpl w:val="3E001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43018"/>
    <w:multiLevelType w:val="multilevel"/>
    <w:tmpl w:val="8DF46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B2655A"/>
    <w:multiLevelType w:val="multilevel"/>
    <w:tmpl w:val="0ED8D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561E0317"/>
    <w:multiLevelType w:val="multilevel"/>
    <w:tmpl w:val="79FE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A31AD5"/>
    <w:multiLevelType w:val="multilevel"/>
    <w:tmpl w:val="17DA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BF3EC3"/>
    <w:multiLevelType w:val="multilevel"/>
    <w:tmpl w:val="19844D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A635E80"/>
    <w:multiLevelType w:val="multilevel"/>
    <w:tmpl w:val="58D8EFB8"/>
    <w:lvl w:ilvl="0">
      <w:start w:val="1"/>
      <w:numFmt w:val="decimal"/>
      <w:lvlText w:val="%1."/>
      <w:lvlJc w:val="left"/>
      <w:pPr>
        <w:tabs>
          <w:tab w:val="num" w:pos="1224"/>
        </w:tabs>
        <w:ind w:left="1224" w:hanging="360"/>
      </w:pPr>
    </w:lvl>
    <w:lvl w:ilvl="1" w:tentative="1">
      <w:start w:val="1"/>
      <w:numFmt w:val="decimal"/>
      <w:lvlText w:val="%2."/>
      <w:lvlJc w:val="left"/>
      <w:pPr>
        <w:tabs>
          <w:tab w:val="num" w:pos="1944"/>
        </w:tabs>
        <w:ind w:left="1944" w:hanging="360"/>
      </w:pPr>
    </w:lvl>
    <w:lvl w:ilvl="2" w:tentative="1">
      <w:start w:val="1"/>
      <w:numFmt w:val="decimal"/>
      <w:lvlText w:val="%3."/>
      <w:lvlJc w:val="left"/>
      <w:pPr>
        <w:tabs>
          <w:tab w:val="num" w:pos="2664"/>
        </w:tabs>
        <w:ind w:left="2664" w:hanging="360"/>
      </w:pPr>
    </w:lvl>
    <w:lvl w:ilvl="3" w:tentative="1">
      <w:start w:val="1"/>
      <w:numFmt w:val="decimal"/>
      <w:lvlText w:val="%4."/>
      <w:lvlJc w:val="left"/>
      <w:pPr>
        <w:tabs>
          <w:tab w:val="num" w:pos="3384"/>
        </w:tabs>
        <w:ind w:left="3384" w:hanging="360"/>
      </w:pPr>
    </w:lvl>
    <w:lvl w:ilvl="4" w:tentative="1">
      <w:start w:val="1"/>
      <w:numFmt w:val="decimal"/>
      <w:lvlText w:val="%5."/>
      <w:lvlJc w:val="left"/>
      <w:pPr>
        <w:tabs>
          <w:tab w:val="num" w:pos="4104"/>
        </w:tabs>
        <w:ind w:left="4104" w:hanging="360"/>
      </w:pPr>
    </w:lvl>
    <w:lvl w:ilvl="5" w:tentative="1">
      <w:start w:val="1"/>
      <w:numFmt w:val="decimal"/>
      <w:lvlText w:val="%6."/>
      <w:lvlJc w:val="left"/>
      <w:pPr>
        <w:tabs>
          <w:tab w:val="num" w:pos="4824"/>
        </w:tabs>
        <w:ind w:left="4824" w:hanging="360"/>
      </w:pPr>
    </w:lvl>
    <w:lvl w:ilvl="6" w:tentative="1">
      <w:start w:val="1"/>
      <w:numFmt w:val="decimal"/>
      <w:lvlText w:val="%7."/>
      <w:lvlJc w:val="left"/>
      <w:pPr>
        <w:tabs>
          <w:tab w:val="num" w:pos="5544"/>
        </w:tabs>
        <w:ind w:left="5544" w:hanging="360"/>
      </w:pPr>
    </w:lvl>
    <w:lvl w:ilvl="7" w:tentative="1">
      <w:start w:val="1"/>
      <w:numFmt w:val="decimal"/>
      <w:lvlText w:val="%8."/>
      <w:lvlJc w:val="left"/>
      <w:pPr>
        <w:tabs>
          <w:tab w:val="num" w:pos="6264"/>
        </w:tabs>
        <w:ind w:left="6264" w:hanging="360"/>
      </w:pPr>
    </w:lvl>
    <w:lvl w:ilvl="8" w:tentative="1">
      <w:start w:val="1"/>
      <w:numFmt w:val="decimal"/>
      <w:lvlText w:val="%9."/>
      <w:lvlJc w:val="left"/>
      <w:pPr>
        <w:tabs>
          <w:tab w:val="num" w:pos="6984"/>
        </w:tabs>
        <w:ind w:left="6984" w:hanging="360"/>
      </w:pPr>
    </w:lvl>
  </w:abstractNum>
  <w:abstractNum w:abstractNumId="30" w15:restartNumberingAfterBreak="0">
    <w:nsid w:val="5E1F1050"/>
    <w:multiLevelType w:val="multilevel"/>
    <w:tmpl w:val="026E98B2"/>
    <w:lvl w:ilvl="0">
      <w:start w:val="1"/>
      <w:numFmt w:val="bullet"/>
      <w:lvlText w:val=""/>
      <w:lvlJc w:val="left"/>
      <w:pPr>
        <w:ind w:left="720" w:firstLine="360"/>
      </w:pPr>
      <w:rPr>
        <w:rFonts w:ascii="Arial" w:eastAsia="Arial" w:hAnsi="Arial" w:cs="Arial"/>
        <w:color w:val="484848"/>
        <w:sz w:val="18"/>
        <w:highlight w:val="white"/>
        <w:u w:val="none"/>
      </w:rPr>
    </w:lvl>
    <w:lvl w:ilvl="1">
      <w:start w:val="1"/>
      <w:numFmt w:val="bullet"/>
      <w:lvlText w:val=""/>
      <w:lvlJc w:val="left"/>
      <w:pPr>
        <w:ind w:left="1440" w:firstLine="1080"/>
      </w:pPr>
      <w:rPr>
        <w:rFonts w:ascii="Arial" w:eastAsia="Arial" w:hAnsi="Arial" w:cs="Arial"/>
        <w:color w:val="484848"/>
        <w:sz w:val="18"/>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14A0F1F"/>
    <w:multiLevelType w:val="hybridMultilevel"/>
    <w:tmpl w:val="A546F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37E83"/>
    <w:multiLevelType w:val="multilevel"/>
    <w:tmpl w:val="67F8EA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642B1C92"/>
    <w:multiLevelType w:val="multilevel"/>
    <w:tmpl w:val="7B16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0008F"/>
    <w:multiLevelType w:val="multilevel"/>
    <w:tmpl w:val="3F5C3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783573C"/>
    <w:multiLevelType w:val="hybridMultilevel"/>
    <w:tmpl w:val="4E207FCA"/>
    <w:lvl w:ilvl="0" w:tplc="1310C260">
      <w:start w:val="1"/>
      <w:numFmt w:val="upperRoman"/>
      <w:lvlText w:val="%1."/>
      <w:lvlJc w:val="left"/>
      <w:pPr>
        <w:ind w:left="1080" w:hanging="72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93DE2"/>
    <w:multiLevelType w:val="hybridMultilevel"/>
    <w:tmpl w:val="A37C5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465205"/>
    <w:multiLevelType w:val="multilevel"/>
    <w:tmpl w:val="BAF24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2282E88"/>
    <w:multiLevelType w:val="hybridMultilevel"/>
    <w:tmpl w:val="C8D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83912"/>
    <w:multiLevelType w:val="multilevel"/>
    <w:tmpl w:val="51E2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047808"/>
    <w:multiLevelType w:val="multilevel"/>
    <w:tmpl w:val="28AC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AE70DF"/>
    <w:multiLevelType w:val="multilevel"/>
    <w:tmpl w:val="E7B00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0"/>
  </w:num>
  <w:num w:numId="3">
    <w:abstractNumId w:val="15"/>
  </w:num>
  <w:num w:numId="4">
    <w:abstractNumId w:val="28"/>
  </w:num>
  <w:num w:numId="5">
    <w:abstractNumId w:val="32"/>
  </w:num>
  <w:num w:numId="6">
    <w:abstractNumId w:val="34"/>
  </w:num>
  <w:num w:numId="7">
    <w:abstractNumId w:val="5"/>
  </w:num>
  <w:num w:numId="8">
    <w:abstractNumId w:val="25"/>
  </w:num>
  <w:num w:numId="9">
    <w:abstractNumId w:val="8"/>
  </w:num>
  <w:num w:numId="10">
    <w:abstractNumId w:val="37"/>
  </w:num>
  <w:num w:numId="11">
    <w:abstractNumId w:val="41"/>
  </w:num>
  <w:num w:numId="12">
    <w:abstractNumId w:val="18"/>
  </w:num>
  <w:num w:numId="13">
    <w:abstractNumId w:val="36"/>
  </w:num>
  <w:num w:numId="14">
    <w:abstractNumId w:val="23"/>
  </w:num>
  <w:num w:numId="15">
    <w:abstractNumId w:val="17"/>
  </w:num>
  <w:num w:numId="16">
    <w:abstractNumId w:val="31"/>
  </w:num>
  <w:num w:numId="17">
    <w:abstractNumId w:val="22"/>
  </w:num>
  <w:num w:numId="18">
    <w:abstractNumId w:val="7"/>
  </w:num>
  <w:num w:numId="19">
    <w:abstractNumId w:val="38"/>
  </w:num>
  <w:num w:numId="20">
    <w:abstractNumId w:val="12"/>
  </w:num>
  <w:num w:numId="21">
    <w:abstractNumId w:val="13"/>
  </w:num>
  <w:num w:numId="22">
    <w:abstractNumId w:val="14"/>
  </w:num>
  <w:num w:numId="23">
    <w:abstractNumId w:val="11"/>
  </w:num>
  <w:num w:numId="24">
    <w:abstractNumId w:val="20"/>
  </w:num>
  <w:num w:numId="25">
    <w:abstractNumId w:val="9"/>
  </w:num>
  <w:num w:numId="26">
    <w:abstractNumId w:val="35"/>
  </w:num>
  <w:num w:numId="27">
    <w:abstractNumId w:val="29"/>
  </w:num>
  <w:num w:numId="28">
    <w:abstractNumId w:val="19"/>
  </w:num>
  <w:num w:numId="29">
    <w:abstractNumId w:val="4"/>
  </w:num>
  <w:num w:numId="30">
    <w:abstractNumId w:val="39"/>
  </w:num>
  <w:num w:numId="31">
    <w:abstractNumId w:val="26"/>
  </w:num>
  <w:num w:numId="32">
    <w:abstractNumId w:val="6"/>
  </w:num>
  <w:num w:numId="33">
    <w:abstractNumId w:val="21"/>
  </w:num>
  <w:num w:numId="34">
    <w:abstractNumId w:val="1"/>
  </w:num>
  <w:num w:numId="35">
    <w:abstractNumId w:val="0"/>
  </w:num>
  <w:num w:numId="36">
    <w:abstractNumId w:val="10"/>
  </w:num>
  <w:num w:numId="37">
    <w:abstractNumId w:val="24"/>
  </w:num>
  <w:num w:numId="38">
    <w:abstractNumId w:val="33"/>
  </w:num>
  <w:num w:numId="39">
    <w:abstractNumId w:val="40"/>
  </w:num>
  <w:num w:numId="40">
    <w:abstractNumId w:val="3"/>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28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BD"/>
    <w:rsid w:val="0001157B"/>
    <w:rsid w:val="000129A8"/>
    <w:rsid w:val="000414FE"/>
    <w:rsid w:val="00067295"/>
    <w:rsid w:val="00073EE8"/>
    <w:rsid w:val="00083B8A"/>
    <w:rsid w:val="00084BF8"/>
    <w:rsid w:val="000B37B4"/>
    <w:rsid w:val="000C255F"/>
    <w:rsid w:val="000E3E7D"/>
    <w:rsid w:val="000F5A35"/>
    <w:rsid w:val="0011259D"/>
    <w:rsid w:val="0011540F"/>
    <w:rsid w:val="001353E7"/>
    <w:rsid w:val="00142F50"/>
    <w:rsid w:val="00155818"/>
    <w:rsid w:val="001858EF"/>
    <w:rsid w:val="00191EDB"/>
    <w:rsid w:val="001A27E8"/>
    <w:rsid w:val="001A3B4C"/>
    <w:rsid w:val="001E0925"/>
    <w:rsid w:val="001F50D7"/>
    <w:rsid w:val="00245E4C"/>
    <w:rsid w:val="00287D39"/>
    <w:rsid w:val="002B70C2"/>
    <w:rsid w:val="002D6311"/>
    <w:rsid w:val="002D774A"/>
    <w:rsid w:val="003024DE"/>
    <w:rsid w:val="00315917"/>
    <w:rsid w:val="00337F27"/>
    <w:rsid w:val="00391D5E"/>
    <w:rsid w:val="003A25BA"/>
    <w:rsid w:val="003D410E"/>
    <w:rsid w:val="0043487B"/>
    <w:rsid w:val="004569FF"/>
    <w:rsid w:val="004C6B12"/>
    <w:rsid w:val="004D0544"/>
    <w:rsid w:val="004E4595"/>
    <w:rsid w:val="004E6B48"/>
    <w:rsid w:val="0053019E"/>
    <w:rsid w:val="00542FD7"/>
    <w:rsid w:val="00547913"/>
    <w:rsid w:val="00553266"/>
    <w:rsid w:val="005701FA"/>
    <w:rsid w:val="005A1C38"/>
    <w:rsid w:val="005B6124"/>
    <w:rsid w:val="00603F8F"/>
    <w:rsid w:val="006068A7"/>
    <w:rsid w:val="006403C5"/>
    <w:rsid w:val="006922D0"/>
    <w:rsid w:val="00696519"/>
    <w:rsid w:val="006A6E93"/>
    <w:rsid w:val="006E2F5A"/>
    <w:rsid w:val="007212BB"/>
    <w:rsid w:val="00734D03"/>
    <w:rsid w:val="007630F6"/>
    <w:rsid w:val="007A22E4"/>
    <w:rsid w:val="007A38B6"/>
    <w:rsid w:val="007C2F4B"/>
    <w:rsid w:val="007E6466"/>
    <w:rsid w:val="007F137A"/>
    <w:rsid w:val="007F3406"/>
    <w:rsid w:val="0080457E"/>
    <w:rsid w:val="00824450"/>
    <w:rsid w:val="00826C85"/>
    <w:rsid w:val="00827F20"/>
    <w:rsid w:val="00861C60"/>
    <w:rsid w:val="008B7AC9"/>
    <w:rsid w:val="008D757B"/>
    <w:rsid w:val="008E42EE"/>
    <w:rsid w:val="009021DF"/>
    <w:rsid w:val="009146FF"/>
    <w:rsid w:val="00920475"/>
    <w:rsid w:val="009270CD"/>
    <w:rsid w:val="009506BA"/>
    <w:rsid w:val="00952518"/>
    <w:rsid w:val="00960BB9"/>
    <w:rsid w:val="009912A9"/>
    <w:rsid w:val="009968CD"/>
    <w:rsid w:val="00997835"/>
    <w:rsid w:val="009A28A4"/>
    <w:rsid w:val="009C7CF0"/>
    <w:rsid w:val="009E3674"/>
    <w:rsid w:val="009F228B"/>
    <w:rsid w:val="009F3A8E"/>
    <w:rsid w:val="00A35EE6"/>
    <w:rsid w:val="00A36775"/>
    <w:rsid w:val="00A578FF"/>
    <w:rsid w:val="00A668BA"/>
    <w:rsid w:val="00A67CA8"/>
    <w:rsid w:val="00A97EC6"/>
    <w:rsid w:val="00AA276A"/>
    <w:rsid w:val="00AB5134"/>
    <w:rsid w:val="00AC0303"/>
    <w:rsid w:val="00AD48BC"/>
    <w:rsid w:val="00B23D1C"/>
    <w:rsid w:val="00B471D8"/>
    <w:rsid w:val="00B577B4"/>
    <w:rsid w:val="00B771EE"/>
    <w:rsid w:val="00B929A0"/>
    <w:rsid w:val="00BE307C"/>
    <w:rsid w:val="00C00143"/>
    <w:rsid w:val="00C1056D"/>
    <w:rsid w:val="00C17577"/>
    <w:rsid w:val="00C219BD"/>
    <w:rsid w:val="00C3273D"/>
    <w:rsid w:val="00C37C05"/>
    <w:rsid w:val="00C5658C"/>
    <w:rsid w:val="00CC3F8C"/>
    <w:rsid w:val="00CF5A39"/>
    <w:rsid w:val="00D078C6"/>
    <w:rsid w:val="00D1526F"/>
    <w:rsid w:val="00D17CE7"/>
    <w:rsid w:val="00D41471"/>
    <w:rsid w:val="00D429E6"/>
    <w:rsid w:val="00D70C02"/>
    <w:rsid w:val="00D731A7"/>
    <w:rsid w:val="00DA0699"/>
    <w:rsid w:val="00DB0E36"/>
    <w:rsid w:val="00DC1D4F"/>
    <w:rsid w:val="00DF02F6"/>
    <w:rsid w:val="00DF17B6"/>
    <w:rsid w:val="00DF7B89"/>
    <w:rsid w:val="00E0398E"/>
    <w:rsid w:val="00E071C2"/>
    <w:rsid w:val="00E21C20"/>
    <w:rsid w:val="00E456C2"/>
    <w:rsid w:val="00E51F1A"/>
    <w:rsid w:val="00E747A0"/>
    <w:rsid w:val="00E87112"/>
    <w:rsid w:val="00EF2B6C"/>
    <w:rsid w:val="00F1450F"/>
    <w:rsid w:val="00F22AA0"/>
    <w:rsid w:val="00F63544"/>
    <w:rsid w:val="00F653A0"/>
    <w:rsid w:val="00F772A0"/>
    <w:rsid w:val="00F85050"/>
    <w:rsid w:val="00F85AF5"/>
    <w:rsid w:val="00F9327D"/>
    <w:rsid w:val="00FB1A18"/>
    <w:rsid w:val="00FB7679"/>
    <w:rsid w:val="00FC6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E693C"/>
  <w15:docId w15:val="{D1FDE246-935B-465A-90DD-2C12A068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1"/>
    <w:next w:val="Normal"/>
    <w:link w:val="Heading7Char"/>
    <w:uiPriority w:val="9"/>
    <w:unhideWhenUsed/>
    <w:qFormat/>
    <w:rsid w:val="00083B8A"/>
    <w:pPr>
      <w:spacing w:line="240" w:lineRule="auto"/>
      <w:ind w:right="340"/>
      <w:outlineLvl w:val="6"/>
    </w:pPr>
    <w:rPr>
      <w:rFonts w:cs="Arial Hebrew Scholar"/>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7A22E4"/>
    <w:rPr>
      <w:sz w:val="16"/>
      <w:szCs w:val="16"/>
    </w:rPr>
  </w:style>
  <w:style w:type="paragraph" w:styleId="CommentText">
    <w:name w:val="annotation text"/>
    <w:basedOn w:val="Normal"/>
    <w:link w:val="CommentTextChar"/>
    <w:uiPriority w:val="99"/>
    <w:semiHidden/>
    <w:unhideWhenUsed/>
    <w:rsid w:val="007A22E4"/>
    <w:pPr>
      <w:spacing w:line="240" w:lineRule="auto"/>
    </w:pPr>
    <w:rPr>
      <w:sz w:val="20"/>
    </w:rPr>
  </w:style>
  <w:style w:type="character" w:customStyle="1" w:styleId="CommentTextChar">
    <w:name w:val="Comment Text Char"/>
    <w:basedOn w:val="DefaultParagraphFont"/>
    <w:link w:val="CommentText"/>
    <w:uiPriority w:val="99"/>
    <w:semiHidden/>
    <w:rsid w:val="007A22E4"/>
    <w:rPr>
      <w:sz w:val="20"/>
    </w:rPr>
  </w:style>
  <w:style w:type="paragraph" w:styleId="CommentSubject">
    <w:name w:val="annotation subject"/>
    <w:basedOn w:val="CommentText"/>
    <w:next w:val="CommentText"/>
    <w:link w:val="CommentSubjectChar"/>
    <w:uiPriority w:val="99"/>
    <w:semiHidden/>
    <w:unhideWhenUsed/>
    <w:rsid w:val="007A22E4"/>
    <w:rPr>
      <w:b/>
      <w:bCs/>
    </w:rPr>
  </w:style>
  <w:style w:type="character" w:customStyle="1" w:styleId="CommentSubjectChar">
    <w:name w:val="Comment Subject Char"/>
    <w:basedOn w:val="CommentTextChar"/>
    <w:link w:val="CommentSubject"/>
    <w:uiPriority w:val="99"/>
    <w:semiHidden/>
    <w:rsid w:val="007A22E4"/>
    <w:rPr>
      <w:b/>
      <w:bCs/>
      <w:sz w:val="20"/>
    </w:rPr>
  </w:style>
  <w:style w:type="paragraph" w:styleId="BalloonText">
    <w:name w:val="Balloon Text"/>
    <w:basedOn w:val="Normal"/>
    <w:link w:val="BalloonTextChar"/>
    <w:uiPriority w:val="99"/>
    <w:semiHidden/>
    <w:unhideWhenUsed/>
    <w:rsid w:val="007A22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2E4"/>
    <w:rPr>
      <w:rFonts w:ascii="Segoe UI" w:hAnsi="Segoe UI" w:cs="Segoe UI"/>
      <w:sz w:val="18"/>
      <w:szCs w:val="18"/>
    </w:rPr>
  </w:style>
  <w:style w:type="paragraph" w:styleId="NormalWeb">
    <w:name w:val="Normal (Web)"/>
    <w:basedOn w:val="Normal"/>
    <w:uiPriority w:val="99"/>
    <w:unhideWhenUsed/>
    <w:rsid w:val="00E747A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A28A4"/>
    <w:rPr>
      <w:color w:val="0000FF" w:themeColor="hyperlink"/>
      <w:u w:val="single"/>
    </w:rPr>
  </w:style>
  <w:style w:type="paragraph" w:styleId="ListParagraph">
    <w:name w:val="List Paragraph"/>
    <w:basedOn w:val="Normal"/>
    <w:uiPriority w:val="34"/>
    <w:qFormat/>
    <w:rsid w:val="007630F6"/>
    <w:pPr>
      <w:ind w:left="720"/>
      <w:contextualSpacing/>
    </w:pPr>
  </w:style>
  <w:style w:type="character" w:customStyle="1" w:styleId="Heading7Char">
    <w:name w:val="Heading 7 Char"/>
    <w:basedOn w:val="DefaultParagraphFont"/>
    <w:link w:val="Heading7"/>
    <w:uiPriority w:val="9"/>
    <w:rsid w:val="00083B8A"/>
    <w:rPr>
      <w:rFonts w:cs="Arial Hebrew Scholar"/>
      <w:b/>
      <w:bCs/>
      <w:sz w:val="36"/>
      <w:szCs w:val="28"/>
    </w:rPr>
  </w:style>
  <w:style w:type="character" w:styleId="Strong">
    <w:name w:val="Strong"/>
    <w:basedOn w:val="DefaultParagraphFont"/>
    <w:uiPriority w:val="22"/>
    <w:qFormat/>
    <w:rsid w:val="00083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5019">
      <w:bodyDiv w:val="1"/>
      <w:marLeft w:val="0"/>
      <w:marRight w:val="0"/>
      <w:marTop w:val="0"/>
      <w:marBottom w:val="0"/>
      <w:divBdr>
        <w:top w:val="none" w:sz="0" w:space="0" w:color="auto"/>
        <w:left w:val="none" w:sz="0" w:space="0" w:color="auto"/>
        <w:bottom w:val="none" w:sz="0" w:space="0" w:color="auto"/>
        <w:right w:val="none" w:sz="0" w:space="0" w:color="auto"/>
      </w:divBdr>
    </w:div>
    <w:div w:id="550117951">
      <w:bodyDiv w:val="1"/>
      <w:marLeft w:val="0"/>
      <w:marRight w:val="0"/>
      <w:marTop w:val="0"/>
      <w:marBottom w:val="0"/>
      <w:divBdr>
        <w:top w:val="none" w:sz="0" w:space="0" w:color="auto"/>
        <w:left w:val="none" w:sz="0" w:space="0" w:color="auto"/>
        <w:bottom w:val="none" w:sz="0" w:space="0" w:color="auto"/>
        <w:right w:val="none" w:sz="0" w:space="0" w:color="auto"/>
      </w:divBdr>
    </w:div>
    <w:div w:id="869030823">
      <w:bodyDiv w:val="1"/>
      <w:marLeft w:val="0"/>
      <w:marRight w:val="0"/>
      <w:marTop w:val="0"/>
      <w:marBottom w:val="0"/>
      <w:divBdr>
        <w:top w:val="none" w:sz="0" w:space="0" w:color="auto"/>
        <w:left w:val="none" w:sz="0" w:space="0" w:color="auto"/>
        <w:bottom w:val="none" w:sz="0" w:space="0" w:color="auto"/>
        <w:right w:val="none" w:sz="0" w:space="0" w:color="auto"/>
      </w:divBdr>
    </w:div>
    <w:div w:id="1198857214">
      <w:bodyDiv w:val="1"/>
      <w:marLeft w:val="0"/>
      <w:marRight w:val="0"/>
      <w:marTop w:val="0"/>
      <w:marBottom w:val="0"/>
      <w:divBdr>
        <w:top w:val="none" w:sz="0" w:space="0" w:color="auto"/>
        <w:left w:val="none" w:sz="0" w:space="0" w:color="auto"/>
        <w:bottom w:val="none" w:sz="0" w:space="0" w:color="auto"/>
        <w:right w:val="none" w:sz="0" w:space="0" w:color="auto"/>
      </w:divBdr>
    </w:div>
    <w:div w:id="1713536428">
      <w:bodyDiv w:val="1"/>
      <w:marLeft w:val="0"/>
      <w:marRight w:val="0"/>
      <w:marTop w:val="0"/>
      <w:marBottom w:val="0"/>
      <w:divBdr>
        <w:top w:val="none" w:sz="0" w:space="0" w:color="auto"/>
        <w:left w:val="none" w:sz="0" w:space="0" w:color="auto"/>
        <w:bottom w:val="none" w:sz="0" w:space="0" w:color="auto"/>
        <w:right w:val="none" w:sz="0" w:space="0" w:color="auto"/>
      </w:divBdr>
    </w:div>
    <w:div w:id="1749764625">
      <w:bodyDiv w:val="1"/>
      <w:marLeft w:val="0"/>
      <w:marRight w:val="0"/>
      <w:marTop w:val="0"/>
      <w:marBottom w:val="0"/>
      <w:divBdr>
        <w:top w:val="none" w:sz="0" w:space="0" w:color="auto"/>
        <w:left w:val="none" w:sz="0" w:space="0" w:color="auto"/>
        <w:bottom w:val="none" w:sz="0" w:space="0" w:color="auto"/>
        <w:right w:val="none" w:sz="0" w:space="0" w:color="auto"/>
      </w:divBdr>
    </w:div>
    <w:div w:id="1788351353">
      <w:bodyDiv w:val="1"/>
      <w:marLeft w:val="0"/>
      <w:marRight w:val="0"/>
      <w:marTop w:val="0"/>
      <w:marBottom w:val="0"/>
      <w:divBdr>
        <w:top w:val="none" w:sz="0" w:space="0" w:color="auto"/>
        <w:left w:val="none" w:sz="0" w:space="0" w:color="auto"/>
        <w:bottom w:val="none" w:sz="0" w:space="0" w:color="auto"/>
        <w:right w:val="none" w:sz="0" w:space="0" w:color="auto"/>
      </w:divBdr>
    </w:div>
    <w:div w:id="2078703011">
      <w:bodyDiv w:val="1"/>
      <w:marLeft w:val="0"/>
      <w:marRight w:val="0"/>
      <w:marTop w:val="0"/>
      <w:marBottom w:val="0"/>
      <w:divBdr>
        <w:top w:val="none" w:sz="0" w:space="0" w:color="auto"/>
        <w:left w:val="none" w:sz="0" w:space="0" w:color="auto"/>
        <w:bottom w:val="none" w:sz="0" w:space="0" w:color="auto"/>
        <w:right w:val="none" w:sz="0" w:space="0" w:color="auto"/>
      </w:divBdr>
    </w:div>
    <w:div w:id="2142534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cience.washington.edu/get-involved/escience-community-semin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FF11-87DA-4F4F-8A5E-4D6FD59E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OPTION Proposal.docx</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Proposal.docx</dc:title>
  <dc:creator>Kelly Thornton</dc:creator>
  <cp:lastModifiedBy>KRISTINA R. OLSON</cp:lastModifiedBy>
  <cp:revision>2</cp:revision>
  <cp:lastPrinted>2017-04-03T21:05:00Z</cp:lastPrinted>
  <dcterms:created xsi:type="dcterms:W3CDTF">2017-12-20T20:06:00Z</dcterms:created>
  <dcterms:modified xsi:type="dcterms:W3CDTF">2017-12-20T20:06:00Z</dcterms:modified>
</cp:coreProperties>
</file>